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A63" w:rsidRPr="002E7946" w:rsidRDefault="002E7946">
      <w:pPr>
        <w:rPr>
          <w:b/>
          <w:sz w:val="28"/>
          <w:szCs w:val="28"/>
          <w:u w:val="single"/>
        </w:rPr>
      </w:pPr>
      <w:r w:rsidRPr="00A97062">
        <w:rPr>
          <w:b/>
          <w:sz w:val="28"/>
          <w:szCs w:val="28"/>
          <w:highlight w:val="cyan"/>
          <w:u w:val="single"/>
        </w:rPr>
        <w:t xml:space="preserve">MODELO DE </w:t>
      </w:r>
      <w:r w:rsidR="00CF0223" w:rsidRPr="00A97062">
        <w:rPr>
          <w:b/>
          <w:sz w:val="28"/>
          <w:szCs w:val="28"/>
          <w:highlight w:val="cyan"/>
          <w:u w:val="single"/>
        </w:rPr>
        <w:t>CONTRATO</w:t>
      </w:r>
      <w:r w:rsidR="00CF0223">
        <w:rPr>
          <w:b/>
          <w:sz w:val="28"/>
          <w:szCs w:val="28"/>
          <w:u w:val="single"/>
        </w:rPr>
        <w:t xml:space="preserve"> N° ___/2026</w:t>
      </w:r>
      <w:bookmarkStart w:id="0" w:name="_GoBack"/>
      <w:bookmarkEnd w:id="0"/>
    </w:p>
    <w:p w:rsidR="001A4A63" w:rsidRDefault="00AE79FC">
      <w:pPr>
        <w:spacing w:line="240" w:lineRule="auto"/>
        <w:rPr>
          <w:b/>
          <w:u w:val="single"/>
        </w:rPr>
      </w:pPr>
      <w:r>
        <w:rPr>
          <w:b/>
          <w:u w:val="single"/>
        </w:rPr>
        <w:t>ADQUIS</w:t>
      </w:r>
      <w:r w:rsidR="002E7946">
        <w:rPr>
          <w:b/>
          <w:u w:val="single"/>
        </w:rPr>
        <w:t>ICIÓN DE ROUTER PARA EL CORE IP</w:t>
      </w:r>
      <w:r w:rsidR="00CF0223">
        <w:rPr>
          <w:b/>
          <w:u w:val="single"/>
        </w:rPr>
        <w:t xml:space="preserve"> II</w:t>
      </w:r>
    </w:p>
    <w:p w:rsidR="001A4A63" w:rsidRDefault="00AE79FC">
      <w:pPr>
        <w:spacing w:line="240" w:lineRule="auto"/>
        <w:jc w:val="both"/>
        <w:rPr>
          <w:smallCaps/>
        </w:rPr>
      </w:pPr>
      <w:r>
        <w:t xml:space="preserve">Entre la Compañía Paraguaya de Comunicaciones S.A. </w:t>
      </w:r>
      <w:r>
        <w:rPr>
          <w:b/>
        </w:rPr>
        <w:t>(COPACO S.A.)</w:t>
      </w:r>
      <w:r>
        <w:t xml:space="preserve">, domiciliada en la casa de las calles Alberdi Nº 531 entre Oliva y Gral. Díaz, Primer Piso, Edificio Gral. Bernardino Caballero, en Asunción, Capital de la República del Paraguay, representada para este acto por </w:t>
      </w:r>
      <w:r w:rsidR="002E7946">
        <w:t>l</w:t>
      </w:r>
      <w:r w:rsidR="002E7946">
        <w:rPr>
          <w:rFonts w:eastAsia="Times New Roman" w:cstheme="minorHAnsi"/>
          <w:lang w:eastAsia="es-ES"/>
        </w:rPr>
        <w:t xml:space="preserve">a </w:t>
      </w:r>
      <w:r w:rsidR="002E7946" w:rsidRPr="004556C1">
        <w:rPr>
          <w:rFonts w:eastAsia="Times New Roman" w:cstheme="minorHAnsi"/>
          <w:b/>
          <w:lang w:eastAsia="es-ES"/>
        </w:rPr>
        <w:t>Señora NATALIA MONSERRAT BORGOGNON CALO</w:t>
      </w:r>
      <w:r w:rsidR="002E7946" w:rsidRPr="004556C1">
        <w:rPr>
          <w:rFonts w:cstheme="minorHAnsi"/>
          <w:b/>
          <w:lang w:val="es-ES_tradnl"/>
        </w:rPr>
        <w:t>, Presidenta Interina del Directorio</w:t>
      </w:r>
      <w:r>
        <w:t>, con R.U.C. Nº 80023541-0 denominada en adelante</w:t>
      </w:r>
      <w:r>
        <w:rPr>
          <w:b/>
        </w:rPr>
        <w:t xml:space="preserve"> LA CONTRATANTE</w:t>
      </w:r>
      <w:r>
        <w:t xml:space="preserve">, por una parte, y, por la otra, </w:t>
      </w:r>
      <w:r>
        <w:rPr>
          <w:color w:val="000000"/>
        </w:rPr>
        <w:t xml:space="preserve">la Firma </w:t>
      </w:r>
      <w:r w:rsidR="002E7946">
        <w:rPr>
          <w:b/>
          <w:color w:val="000000"/>
        </w:rPr>
        <w:t>_____________________________</w:t>
      </w:r>
      <w:r>
        <w:rPr>
          <w:color w:val="000000"/>
        </w:rPr>
        <w:t xml:space="preserve">, domiciliada en la calle </w:t>
      </w:r>
      <w:r w:rsidR="002E7946">
        <w:rPr>
          <w:color w:val="000000"/>
        </w:rPr>
        <w:t>_______________________________________</w:t>
      </w:r>
      <w:r>
        <w:rPr>
          <w:color w:val="000000"/>
        </w:rPr>
        <w:t xml:space="preserve">, de la ciudad de </w:t>
      </w:r>
      <w:r w:rsidR="00433770">
        <w:rPr>
          <w:color w:val="000000"/>
        </w:rPr>
        <w:t>______</w:t>
      </w:r>
      <w:r>
        <w:rPr>
          <w:color w:val="000000"/>
        </w:rPr>
        <w:t xml:space="preserve">, República del Paraguay, representada en este Acto por </w:t>
      </w:r>
      <w:r w:rsidR="002E7946">
        <w:rPr>
          <w:color w:val="000000"/>
        </w:rPr>
        <w:t>______________________________________</w:t>
      </w:r>
      <w:r>
        <w:rPr>
          <w:color w:val="000000"/>
        </w:rPr>
        <w:t xml:space="preserve">, con Cédula de Identidad Civil N° </w:t>
      </w:r>
      <w:r w:rsidR="002E7946">
        <w:rPr>
          <w:color w:val="000000"/>
        </w:rPr>
        <w:t>______</w:t>
      </w:r>
      <w:r>
        <w:rPr>
          <w:color w:val="000000"/>
        </w:rPr>
        <w:t xml:space="preserve">, con R.U.C. N° </w:t>
      </w:r>
      <w:r w:rsidR="002E7946">
        <w:rPr>
          <w:color w:val="000000"/>
        </w:rPr>
        <w:t>_________,</w:t>
      </w:r>
      <w:r>
        <w:t xml:space="preserve"> denominada en adelante </w:t>
      </w:r>
      <w:r>
        <w:rPr>
          <w:b/>
        </w:rPr>
        <w:t>EL PROVEEDOR</w:t>
      </w:r>
      <w:r>
        <w:t>, identificadas en conjunto como “LAS PARTES” e, individualmente, “PARTE”, acuerdan celebrar el presente contrato de</w:t>
      </w:r>
      <w:r>
        <w:rPr>
          <w:b/>
        </w:rPr>
        <w:t xml:space="preserve"> “ADQUISICIÓN DE ROUTER PARA EL CORE IP</w:t>
      </w:r>
      <w:r w:rsidR="00CF0223">
        <w:rPr>
          <w:b/>
        </w:rPr>
        <w:t xml:space="preserve"> II</w:t>
      </w:r>
      <w:r>
        <w:rPr>
          <w:b/>
          <w:smallCaps/>
        </w:rPr>
        <w:t>”</w:t>
      </w:r>
      <w:r>
        <w:t>, el cual estará sujeto a las siguientes cláusulas y condiciones:</w:t>
      </w:r>
    </w:p>
    <w:p w:rsidR="001A4A63" w:rsidRDefault="00AE79FC">
      <w:pPr>
        <w:spacing w:after="0" w:line="240" w:lineRule="auto"/>
        <w:jc w:val="both"/>
        <w:rPr>
          <w:b/>
          <w:u w:val="single"/>
        </w:rPr>
      </w:pPr>
      <w:r>
        <w:rPr>
          <w:b/>
          <w:u w:val="single"/>
        </w:rPr>
        <w:t>CLÁUSULA PRIMERA: OBJETO.</w:t>
      </w:r>
    </w:p>
    <w:p w:rsidR="001A4A63" w:rsidRDefault="00AE79FC">
      <w:pPr>
        <w:spacing w:line="240" w:lineRule="auto"/>
        <w:jc w:val="both"/>
        <w:rPr>
          <w:b/>
          <w:u w:val="single"/>
        </w:rPr>
      </w:pPr>
      <w:r>
        <w:t xml:space="preserve">El presente Contrato tiene por objeto establecer los derechos y las obligaciones que asumen LA CONTRATANTE y EL PROVEEDOR, con relación a la </w:t>
      </w:r>
      <w:r>
        <w:rPr>
          <w:b/>
        </w:rPr>
        <w:t>“ADQUISICIÓN DE ROUTER PARA EL CORE IP</w:t>
      </w:r>
      <w:r w:rsidR="00CF0223">
        <w:rPr>
          <w:b/>
        </w:rPr>
        <w:t xml:space="preserve"> II</w:t>
      </w:r>
      <w:r>
        <w:rPr>
          <w:b/>
        </w:rPr>
        <w:t>”</w:t>
      </w:r>
      <w:r>
        <w:t>, que serán proveídos por el PROVEEDOR a la CONTRATANTE, de acuerdo al Contrato y demás documentos del mismo y a cuyo fiel cumplimiento se obligan las partes.-</w:t>
      </w:r>
    </w:p>
    <w:p w:rsidR="001A4A63" w:rsidRDefault="00AE79FC">
      <w:pPr>
        <w:widowControl w:val="0"/>
        <w:pBdr>
          <w:top w:val="nil"/>
          <w:left w:val="nil"/>
          <w:bottom w:val="nil"/>
          <w:right w:val="nil"/>
          <w:between w:val="nil"/>
        </w:pBdr>
        <w:tabs>
          <w:tab w:val="left" w:pos="284"/>
        </w:tabs>
        <w:spacing w:after="0" w:line="240" w:lineRule="auto"/>
        <w:jc w:val="both"/>
        <w:rPr>
          <w:b/>
          <w:color w:val="000000"/>
          <w:u w:val="single"/>
        </w:rPr>
      </w:pPr>
      <w:r>
        <w:rPr>
          <w:b/>
          <w:color w:val="000000"/>
          <w:u w:val="single"/>
        </w:rPr>
        <w:t>CLÁUSULA SEGUNDA: DOCUMENTOS INTEGRANTES DEL CONTRATO.</w:t>
      </w:r>
    </w:p>
    <w:p w:rsidR="001A4A63" w:rsidRDefault="00AE79FC">
      <w:pPr>
        <w:jc w:val="both"/>
      </w:pPr>
      <w:r>
        <w:t xml:space="preserve">Los documentos que forman parte integral del contrato, además de los documentos contractuales firmados por las partes, son los siguientes: </w:t>
      </w:r>
    </w:p>
    <w:p w:rsidR="001A4A63" w:rsidRDefault="00AE79FC">
      <w:pPr>
        <w:numPr>
          <w:ilvl w:val="0"/>
          <w:numId w:val="1"/>
        </w:numPr>
        <w:spacing w:after="0" w:line="276" w:lineRule="auto"/>
        <w:jc w:val="both"/>
      </w:pPr>
      <w:r>
        <w:t>Contrato y sus adendas o modificaciones;</w:t>
      </w:r>
    </w:p>
    <w:p w:rsidR="001A4A63" w:rsidRDefault="00AE79FC">
      <w:pPr>
        <w:numPr>
          <w:ilvl w:val="0"/>
          <w:numId w:val="1"/>
        </w:numPr>
        <w:spacing w:after="0" w:line="276" w:lineRule="auto"/>
        <w:jc w:val="both"/>
      </w:pPr>
      <w:r>
        <w:t xml:space="preserve">El Pliego de Bases y Condiciones y sus adendas o modificaciones; </w:t>
      </w:r>
    </w:p>
    <w:p w:rsidR="001A4A63" w:rsidRDefault="00AE79FC">
      <w:pPr>
        <w:numPr>
          <w:ilvl w:val="0"/>
          <w:numId w:val="1"/>
        </w:numPr>
        <w:spacing w:after="0" w:line="276" w:lineRule="auto"/>
        <w:jc w:val="both"/>
      </w:pPr>
      <w:r>
        <w:t>Los datos cargados en el SICP;</w:t>
      </w:r>
    </w:p>
    <w:p w:rsidR="001A4A63" w:rsidRDefault="00AE79FC">
      <w:pPr>
        <w:numPr>
          <w:ilvl w:val="0"/>
          <w:numId w:val="1"/>
        </w:numPr>
        <w:spacing w:after="0" w:line="276" w:lineRule="auto"/>
        <w:jc w:val="both"/>
      </w:pPr>
      <w:r>
        <w:t xml:space="preserve">La oferta del proveedor; </w:t>
      </w:r>
    </w:p>
    <w:p w:rsidR="001A4A63" w:rsidRDefault="00AE79FC">
      <w:pPr>
        <w:numPr>
          <w:ilvl w:val="0"/>
          <w:numId w:val="1"/>
        </w:numPr>
        <w:spacing w:line="276" w:lineRule="auto"/>
        <w:jc w:val="both"/>
      </w:pPr>
      <w:r>
        <w:t>La resolución de adjudicación del contrato emitida por la contratante y su respectiva notificación.</w:t>
      </w:r>
    </w:p>
    <w:p w:rsidR="001A4A63" w:rsidRDefault="00AE79FC">
      <w:pPr>
        <w:pBdr>
          <w:top w:val="nil"/>
          <w:left w:val="nil"/>
          <w:bottom w:val="nil"/>
          <w:right w:val="nil"/>
          <w:between w:val="nil"/>
        </w:pBdr>
        <w:spacing w:after="280" w:line="240" w:lineRule="auto"/>
        <w:jc w:val="both"/>
        <w:rPr>
          <w:color w:val="000000"/>
          <w:sz w:val="24"/>
          <w:szCs w:val="24"/>
        </w:rPr>
      </w:pPr>
      <w:r>
        <w:rPr>
          <w:color w:val="000000"/>
        </w:rPr>
        <w:t>Los documentos que forman parte del contrato deberán considerarse mutuamente explicativos; en caso de contradicción o discrepancia entre los mismos, la prioridad se dará en el orden enunciado anteriormente</w:t>
      </w:r>
      <w:r>
        <w:rPr>
          <w:color w:val="000000"/>
          <w:sz w:val="23"/>
          <w:szCs w:val="23"/>
        </w:rPr>
        <w:t>, siempre que no contradigan las disposiciones del Pliego de Bases y Condiciones, en cuyo caso prevalecerá lo dispuesto en este.</w:t>
      </w:r>
    </w:p>
    <w:p w:rsidR="001A4A63" w:rsidRDefault="00AE79FC">
      <w:pPr>
        <w:widowControl w:val="0"/>
        <w:pBdr>
          <w:top w:val="nil"/>
          <w:left w:val="nil"/>
          <w:bottom w:val="nil"/>
          <w:right w:val="nil"/>
          <w:between w:val="nil"/>
        </w:pBdr>
        <w:tabs>
          <w:tab w:val="left" w:pos="284"/>
        </w:tabs>
        <w:spacing w:after="0" w:line="276" w:lineRule="auto"/>
        <w:jc w:val="both"/>
        <w:rPr>
          <w:color w:val="000000"/>
          <w:u w:val="single"/>
        </w:rPr>
      </w:pPr>
      <w:r>
        <w:rPr>
          <w:b/>
          <w:color w:val="000000"/>
          <w:u w:val="single"/>
        </w:rPr>
        <w:t>CLÁUSULA TERCERA: IDENTIFICACIÓN DEL CRÉDITO PRESUPUESTARIO PARA CUBRIR EL COMPROMISO DERIVADO DEL CONTRATO.</w:t>
      </w:r>
    </w:p>
    <w:p w:rsidR="001A4A63" w:rsidRDefault="00AE79FC">
      <w:pPr>
        <w:jc w:val="both"/>
        <w:rPr>
          <w:i/>
          <w:color w:val="FF0000"/>
        </w:rPr>
      </w:pPr>
      <w:r>
        <w:rPr>
          <w:color w:val="000000"/>
        </w:rPr>
        <w:t>El crédito presupuestario para cubrir el compromiso derivado del presente contrato está previsto conforme al Certificado de Disponibilidad Presupuestaria vinculado al Programa Anual de Contrataciones (PAC) con el ID N</w:t>
      </w:r>
      <w:r w:rsidRPr="00BC27BE">
        <w:rPr>
          <w:b/>
          <w:color w:val="000000"/>
        </w:rPr>
        <w:t>°</w:t>
      </w:r>
      <w:r w:rsidR="00BC27BE" w:rsidRPr="00BC27BE">
        <w:rPr>
          <w:b/>
          <w:color w:val="000000"/>
        </w:rPr>
        <w:t xml:space="preserve"> 483889</w:t>
      </w:r>
      <w:r>
        <w:rPr>
          <w:b/>
          <w:color w:val="000000"/>
        </w:rPr>
        <w:t>.</w:t>
      </w:r>
    </w:p>
    <w:p w:rsidR="001A4A63" w:rsidRDefault="00AE79FC">
      <w:pPr>
        <w:spacing w:before="240" w:after="0"/>
        <w:jc w:val="both"/>
        <w:rPr>
          <w:u w:val="single"/>
        </w:rPr>
      </w:pPr>
      <w:r>
        <w:rPr>
          <w:b/>
          <w:u w:val="single"/>
        </w:rPr>
        <w:t>CLÁUSULA CUARTA: PROCEDIMIENTO DE CONTRATACIÓN.</w:t>
      </w:r>
    </w:p>
    <w:p w:rsidR="001A4A63" w:rsidRDefault="00AE79FC">
      <w:pPr>
        <w:jc w:val="both"/>
        <w:rPr>
          <w:b/>
        </w:rPr>
      </w:pPr>
      <w:r>
        <w:t xml:space="preserve">El contrato es el resultado del procedimiento de la </w:t>
      </w:r>
      <w:r>
        <w:rPr>
          <w:b/>
        </w:rPr>
        <w:t xml:space="preserve">Contratación Vía de la Excepción N° </w:t>
      </w:r>
      <w:r w:rsidR="00BC27BE">
        <w:rPr>
          <w:b/>
        </w:rPr>
        <w:t>1</w:t>
      </w:r>
      <w:r w:rsidR="00F03445">
        <w:rPr>
          <w:b/>
        </w:rPr>
        <w:t>/2026</w:t>
      </w:r>
      <w:r>
        <w:t>, convocado por la</w:t>
      </w:r>
      <w:r>
        <w:rPr>
          <w:b/>
        </w:rPr>
        <w:t xml:space="preserve"> Compañía Paraguaya de Comunicaciones Sociedad Anónima (COPACO S.A.)</w:t>
      </w:r>
      <w:r>
        <w:t xml:space="preserve">. La adjudicación fue realizada de conformidad al </w:t>
      </w:r>
      <w:r>
        <w:rPr>
          <w:b/>
        </w:rPr>
        <w:t>Acta N°_____ de fecha ___ de _______de 202</w:t>
      </w:r>
      <w:r w:rsidR="00F03445">
        <w:rPr>
          <w:b/>
        </w:rPr>
        <w:t>6</w:t>
      </w:r>
      <w:r>
        <w:rPr>
          <w:b/>
        </w:rPr>
        <w:t>.-</w:t>
      </w:r>
    </w:p>
    <w:p w:rsidR="001A4A63" w:rsidRDefault="00AE79FC">
      <w:pPr>
        <w:rPr>
          <w:b/>
          <w:u w:val="single"/>
        </w:rPr>
      </w:pPr>
      <w:r>
        <w:br w:type="page"/>
      </w:r>
    </w:p>
    <w:p w:rsidR="001A4A63" w:rsidRDefault="00AE79FC">
      <w:pPr>
        <w:widowControl w:val="0"/>
        <w:pBdr>
          <w:top w:val="nil"/>
          <w:left w:val="nil"/>
          <w:bottom w:val="nil"/>
          <w:right w:val="nil"/>
          <w:between w:val="nil"/>
        </w:pBdr>
        <w:tabs>
          <w:tab w:val="left" w:pos="284"/>
        </w:tabs>
        <w:spacing w:after="0" w:line="276" w:lineRule="auto"/>
        <w:jc w:val="both"/>
        <w:rPr>
          <w:b/>
          <w:color w:val="000000"/>
          <w:u w:val="single"/>
        </w:rPr>
      </w:pPr>
      <w:r>
        <w:rPr>
          <w:b/>
          <w:color w:val="000000"/>
          <w:u w:val="single"/>
        </w:rPr>
        <w:lastRenderedPageBreak/>
        <w:t>CLÁUSULA QUINTA: PRECIO UNITARIO Y EL IMPORTE TOTAL A PAGAR POR LOS BIENES y/o SERVICIOS.</w:t>
      </w:r>
    </w:p>
    <w:tbl>
      <w:tblPr>
        <w:tblStyle w:val="a"/>
        <w:tblW w:w="957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085"/>
        <w:gridCol w:w="978"/>
        <w:gridCol w:w="1772"/>
        <w:gridCol w:w="840"/>
        <w:gridCol w:w="1122"/>
        <w:gridCol w:w="840"/>
        <w:gridCol w:w="693"/>
        <w:gridCol w:w="1124"/>
        <w:gridCol w:w="1116"/>
      </w:tblGrid>
      <w:tr w:rsidR="001A4A63">
        <w:trPr>
          <w:trHeight w:val="433"/>
        </w:trPr>
        <w:tc>
          <w:tcPr>
            <w:tcW w:w="1085" w:type="dxa"/>
            <w:shd w:val="clear" w:color="auto" w:fill="D9D9D9"/>
            <w:vAlign w:val="center"/>
          </w:tcPr>
          <w:p w:rsidR="001A4A63" w:rsidRDefault="00AE79FC">
            <w:pPr>
              <w:spacing w:before="240"/>
              <w:jc w:val="center"/>
              <w:rPr>
                <w:b/>
                <w:sz w:val="18"/>
                <w:szCs w:val="18"/>
              </w:rPr>
            </w:pPr>
            <w:r>
              <w:rPr>
                <w:b/>
                <w:sz w:val="18"/>
                <w:szCs w:val="18"/>
              </w:rPr>
              <w:t>Nro. De Orden</w:t>
            </w:r>
          </w:p>
        </w:tc>
        <w:tc>
          <w:tcPr>
            <w:tcW w:w="978" w:type="dxa"/>
            <w:shd w:val="clear" w:color="auto" w:fill="D9D9D9"/>
            <w:vAlign w:val="center"/>
          </w:tcPr>
          <w:p w:rsidR="001A4A63" w:rsidRDefault="00AE79FC">
            <w:pPr>
              <w:spacing w:before="240"/>
              <w:jc w:val="center"/>
              <w:rPr>
                <w:b/>
                <w:sz w:val="18"/>
                <w:szCs w:val="18"/>
              </w:rPr>
            </w:pPr>
            <w:r>
              <w:rPr>
                <w:b/>
                <w:sz w:val="18"/>
                <w:szCs w:val="18"/>
              </w:rPr>
              <w:t>Nro. De Ítem/Lote</w:t>
            </w:r>
          </w:p>
        </w:tc>
        <w:tc>
          <w:tcPr>
            <w:tcW w:w="1772" w:type="dxa"/>
            <w:shd w:val="clear" w:color="auto" w:fill="D9D9D9"/>
            <w:vAlign w:val="center"/>
          </w:tcPr>
          <w:p w:rsidR="001A4A63" w:rsidRDefault="00AE79FC">
            <w:pPr>
              <w:spacing w:before="240"/>
              <w:jc w:val="center"/>
              <w:rPr>
                <w:b/>
                <w:sz w:val="18"/>
                <w:szCs w:val="18"/>
              </w:rPr>
            </w:pPr>
            <w:r>
              <w:rPr>
                <w:b/>
                <w:sz w:val="18"/>
                <w:szCs w:val="18"/>
              </w:rPr>
              <w:t>Descripción</w:t>
            </w:r>
          </w:p>
        </w:tc>
        <w:tc>
          <w:tcPr>
            <w:tcW w:w="840" w:type="dxa"/>
            <w:shd w:val="clear" w:color="auto" w:fill="D9D9D9"/>
            <w:vAlign w:val="center"/>
          </w:tcPr>
          <w:p w:rsidR="001A4A63" w:rsidRDefault="00AE79FC">
            <w:pPr>
              <w:spacing w:before="240"/>
              <w:jc w:val="center"/>
              <w:rPr>
                <w:b/>
                <w:sz w:val="18"/>
                <w:szCs w:val="18"/>
              </w:rPr>
            </w:pPr>
            <w:r>
              <w:rPr>
                <w:b/>
                <w:sz w:val="18"/>
                <w:szCs w:val="18"/>
              </w:rPr>
              <w:t>Marca</w:t>
            </w:r>
          </w:p>
        </w:tc>
        <w:tc>
          <w:tcPr>
            <w:tcW w:w="1122" w:type="dxa"/>
            <w:shd w:val="clear" w:color="auto" w:fill="D9D9D9"/>
            <w:vAlign w:val="center"/>
          </w:tcPr>
          <w:p w:rsidR="001A4A63" w:rsidRDefault="00AE79FC">
            <w:pPr>
              <w:spacing w:before="240"/>
              <w:jc w:val="center"/>
              <w:rPr>
                <w:b/>
                <w:sz w:val="18"/>
                <w:szCs w:val="18"/>
              </w:rPr>
            </w:pPr>
            <w:r>
              <w:rPr>
                <w:b/>
                <w:sz w:val="18"/>
                <w:szCs w:val="18"/>
              </w:rPr>
              <w:t>Procedencia</w:t>
            </w:r>
          </w:p>
        </w:tc>
        <w:tc>
          <w:tcPr>
            <w:tcW w:w="840" w:type="dxa"/>
            <w:shd w:val="clear" w:color="auto" w:fill="D9D9D9"/>
            <w:vAlign w:val="center"/>
          </w:tcPr>
          <w:p w:rsidR="001A4A63" w:rsidRDefault="00AE79FC">
            <w:pPr>
              <w:spacing w:before="240"/>
              <w:jc w:val="center"/>
              <w:rPr>
                <w:b/>
                <w:sz w:val="18"/>
                <w:szCs w:val="18"/>
              </w:rPr>
            </w:pPr>
            <w:r>
              <w:rPr>
                <w:b/>
                <w:sz w:val="18"/>
                <w:szCs w:val="18"/>
              </w:rPr>
              <w:t>Unidad de Medida</w:t>
            </w:r>
          </w:p>
        </w:tc>
        <w:tc>
          <w:tcPr>
            <w:tcW w:w="693" w:type="dxa"/>
            <w:shd w:val="clear" w:color="auto" w:fill="D9D9D9"/>
            <w:vAlign w:val="center"/>
          </w:tcPr>
          <w:p w:rsidR="001A4A63" w:rsidRDefault="00AE79FC">
            <w:pPr>
              <w:spacing w:before="240"/>
              <w:jc w:val="center"/>
              <w:rPr>
                <w:b/>
                <w:sz w:val="18"/>
                <w:szCs w:val="18"/>
              </w:rPr>
            </w:pPr>
            <w:r>
              <w:rPr>
                <w:b/>
                <w:sz w:val="18"/>
                <w:szCs w:val="18"/>
              </w:rPr>
              <w:t>Cantidad</w:t>
            </w:r>
          </w:p>
        </w:tc>
        <w:tc>
          <w:tcPr>
            <w:tcW w:w="1124" w:type="dxa"/>
            <w:shd w:val="clear" w:color="auto" w:fill="D9D9D9"/>
            <w:vAlign w:val="center"/>
          </w:tcPr>
          <w:p w:rsidR="001A4A63" w:rsidRDefault="00AE79FC">
            <w:pPr>
              <w:spacing w:before="240"/>
              <w:jc w:val="center"/>
              <w:rPr>
                <w:b/>
                <w:sz w:val="18"/>
                <w:szCs w:val="18"/>
              </w:rPr>
            </w:pPr>
            <w:r>
              <w:rPr>
                <w:b/>
                <w:sz w:val="18"/>
                <w:szCs w:val="18"/>
              </w:rPr>
              <w:t>Precio Unitario</w:t>
            </w:r>
          </w:p>
        </w:tc>
        <w:tc>
          <w:tcPr>
            <w:tcW w:w="1116" w:type="dxa"/>
            <w:shd w:val="clear" w:color="auto" w:fill="D9D9D9"/>
            <w:vAlign w:val="center"/>
          </w:tcPr>
          <w:p w:rsidR="001A4A63" w:rsidRDefault="00AE79FC">
            <w:pPr>
              <w:spacing w:before="240"/>
              <w:jc w:val="center"/>
              <w:rPr>
                <w:b/>
                <w:sz w:val="18"/>
                <w:szCs w:val="18"/>
              </w:rPr>
            </w:pPr>
            <w:r>
              <w:rPr>
                <w:b/>
                <w:sz w:val="18"/>
                <w:szCs w:val="18"/>
              </w:rPr>
              <w:t>Monto Total</w:t>
            </w:r>
          </w:p>
        </w:tc>
      </w:tr>
      <w:tr w:rsidR="001A4A63">
        <w:tc>
          <w:tcPr>
            <w:tcW w:w="1085" w:type="dxa"/>
            <w:vAlign w:val="center"/>
          </w:tcPr>
          <w:p w:rsidR="001A4A63" w:rsidRDefault="00AE79FC">
            <w:pPr>
              <w:spacing w:before="240"/>
              <w:jc w:val="center"/>
              <w:rPr>
                <w:sz w:val="18"/>
                <w:szCs w:val="18"/>
              </w:rPr>
            </w:pPr>
            <w:r>
              <w:rPr>
                <w:sz w:val="18"/>
                <w:szCs w:val="18"/>
              </w:rPr>
              <w:t>1</w:t>
            </w:r>
          </w:p>
        </w:tc>
        <w:tc>
          <w:tcPr>
            <w:tcW w:w="978" w:type="dxa"/>
            <w:vAlign w:val="center"/>
          </w:tcPr>
          <w:p w:rsidR="001A4A63" w:rsidRDefault="00AE79FC">
            <w:pPr>
              <w:spacing w:before="240"/>
              <w:jc w:val="center"/>
              <w:rPr>
                <w:i/>
                <w:sz w:val="18"/>
                <w:szCs w:val="18"/>
              </w:rPr>
            </w:pPr>
            <w:r>
              <w:rPr>
                <w:i/>
                <w:sz w:val="18"/>
                <w:szCs w:val="18"/>
              </w:rPr>
              <w:t>1</w:t>
            </w:r>
          </w:p>
        </w:tc>
        <w:tc>
          <w:tcPr>
            <w:tcW w:w="1772" w:type="dxa"/>
            <w:vAlign w:val="center"/>
          </w:tcPr>
          <w:p w:rsidR="001A4A63" w:rsidRDefault="00AE79FC">
            <w:pPr>
              <w:spacing w:before="240"/>
              <w:jc w:val="center"/>
              <w:rPr>
                <w:i/>
                <w:sz w:val="18"/>
                <w:szCs w:val="18"/>
              </w:rPr>
            </w:pPr>
            <w:r>
              <w:rPr>
                <w:sz w:val="18"/>
                <w:szCs w:val="18"/>
              </w:rPr>
              <w:t>Router avanzado de Core</w:t>
            </w:r>
          </w:p>
        </w:tc>
        <w:tc>
          <w:tcPr>
            <w:tcW w:w="840" w:type="dxa"/>
            <w:vAlign w:val="center"/>
          </w:tcPr>
          <w:p w:rsidR="001A4A63" w:rsidRDefault="001A4A63">
            <w:pPr>
              <w:spacing w:before="240"/>
              <w:jc w:val="center"/>
              <w:rPr>
                <w:i/>
                <w:sz w:val="18"/>
                <w:szCs w:val="18"/>
              </w:rPr>
            </w:pPr>
          </w:p>
        </w:tc>
        <w:tc>
          <w:tcPr>
            <w:tcW w:w="1122" w:type="dxa"/>
            <w:vAlign w:val="center"/>
          </w:tcPr>
          <w:p w:rsidR="001A4A63" w:rsidRDefault="001A4A63">
            <w:pPr>
              <w:spacing w:before="240"/>
              <w:jc w:val="center"/>
              <w:rPr>
                <w:i/>
                <w:sz w:val="18"/>
                <w:szCs w:val="18"/>
              </w:rPr>
            </w:pPr>
          </w:p>
        </w:tc>
        <w:tc>
          <w:tcPr>
            <w:tcW w:w="840" w:type="dxa"/>
            <w:vAlign w:val="center"/>
          </w:tcPr>
          <w:p w:rsidR="001A4A63" w:rsidRDefault="00AE79FC">
            <w:pPr>
              <w:spacing w:before="240"/>
              <w:jc w:val="center"/>
              <w:rPr>
                <w:i/>
                <w:sz w:val="18"/>
                <w:szCs w:val="18"/>
              </w:rPr>
            </w:pPr>
            <w:r>
              <w:rPr>
                <w:i/>
                <w:sz w:val="18"/>
                <w:szCs w:val="18"/>
              </w:rPr>
              <w:t>Unidad</w:t>
            </w:r>
          </w:p>
        </w:tc>
        <w:tc>
          <w:tcPr>
            <w:tcW w:w="693" w:type="dxa"/>
            <w:vAlign w:val="center"/>
          </w:tcPr>
          <w:p w:rsidR="001A4A63" w:rsidRDefault="00AE79FC">
            <w:pPr>
              <w:spacing w:before="240"/>
              <w:jc w:val="center"/>
              <w:rPr>
                <w:i/>
                <w:sz w:val="18"/>
                <w:szCs w:val="18"/>
              </w:rPr>
            </w:pPr>
            <w:r>
              <w:rPr>
                <w:i/>
                <w:sz w:val="18"/>
                <w:szCs w:val="18"/>
              </w:rPr>
              <w:t>1</w:t>
            </w:r>
          </w:p>
        </w:tc>
        <w:tc>
          <w:tcPr>
            <w:tcW w:w="1124" w:type="dxa"/>
            <w:vAlign w:val="center"/>
          </w:tcPr>
          <w:p w:rsidR="001A4A63" w:rsidRDefault="001A4A63">
            <w:pPr>
              <w:spacing w:before="240"/>
              <w:jc w:val="center"/>
              <w:rPr>
                <w:i/>
                <w:sz w:val="18"/>
                <w:szCs w:val="18"/>
              </w:rPr>
            </w:pPr>
          </w:p>
        </w:tc>
        <w:tc>
          <w:tcPr>
            <w:tcW w:w="1116" w:type="dxa"/>
            <w:vAlign w:val="center"/>
          </w:tcPr>
          <w:p w:rsidR="001A4A63" w:rsidRDefault="001A4A63">
            <w:pPr>
              <w:spacing w:before="240"/>
              <w:jc w:val="center"/>
              <w:rPr>
                <w:i/>
                <w:sz w:val="18"/>
                <w:szCs w:val="18"/>
              </w:rPr>
            </w:pPr>
          </w:p>
        </w:tc>
      </w:tr>
      <w:tr w:rsidR="001A4A63">
        <w:tc>
          <w:tcPr>
            <w:tcW w:w="8454" w:type="dxa"/>
            <w:gridSpan w:val="8"/>
            <w:vAlign w:val="center"/>
          </w:tcPr>
          <w:p w:rsidR="001A4A63" w:rsidRDefault="00AE79FC" w:rsidP="009B38AB">
            <w:pPr>
              <w:spacing w:before="240"/>
              <w:jc w:val="center"/>
              <w:rPr>
                <w:i/>
                <w:sz w:val="18"/>
                <w:szCs w:val="18"/>
              </w:rPr>
            </w:pPr>
            <w:r>
              <w:rPr>
                <w:i/>
                <w:sz w:val="18"/>
                <w:szCs w:val="18"/>
              </w:rPr>
              <w:t xml:space="preserve">Total: Guaraníes </w:t>
            </w:r>
            <w:r w:rsidR="009B38AB">
              <w:rPr>
                <w:i/>
                <w:sz w:val="18"/>
                <w:szCs w:val="18"/>
              </w:rPr>
              <w:t>_____________________________________</w:t>
            </w:r>
            <w:r>
              <w:rPr>
                <w:i/>
                <w:sz w:val="18"/>
                <w:szCs w:val="18"/>
              </w:rPr>
              <w:t>, IVA incluido.</w:t>
            </w:r>
          </w:p>
        </w:tc>
        <w:tc>
          <w:tcPr>
            <w:tcW w:w="1116" w:type="dxa"/>
            <w:vAlign w:val="center"/>
          </w:tcPr>
          <w:p w:rsidR="001A4A63" w:rsidRDefault="001A4A63">
            <w:pPr>
              <w:spacing w:before="240"/>
              <w:jc w:val="center"/>
              <w:rPr>
                <w:i/>
                <w:sz w:val="18"/>
                <w:szCs w:val="18"/>
              </w:rPr>
            </w:pPr>
          </w:p>
        </w:tc>
      </w:tr>
    </w:tbl>
    <w:p w:rsidR="001A4A63" w:rsidRDefault="00AE79FC" w:rsidP="009B38AB">
      <w:pPr>
        <w:pBdr>
          <w:top w:val="nil"/>
          <w:left w:val="nil"/>
          <w:bottom w:val="nil"/>
          <w:right w:val="nil"/>
          <w:between w:val="nil"/>
        </w:pBdr>
        <w:spacing w:before="240" w:after="240" w:line="276" w:lineRule="auto"/>
        <w:jc w:val="both"/>
        <w:rPr>
          <w:i/>
          <w:color w:val="000000"/>
        </w:rPr>
      </w:pPr>
      <w:r>
        <w:rPr>
          <w:color w:val="000000"/>
        </w:rPr>
        <w:t>El monto total del presente contrato asciende a la suma de: __________________________</w:t>
      </w:r>
    </w:p>
    <w:p w:rsidR="001A4A63" w:rsidRDefault="00AE79FC">
      <w:pPr>
        <w:pBdr>
          <w:top w:val="nil"/>
          <w:left w:val="nil"/>
          <w:bottom w:val="nil"/>
          <w:right w:val="nil"/>
          <w:between w:val="nil"/>
        </w:pBdr>
        <w:spacing w:after="240" w:line="276" w:lineRule="auto"/>
        <w:jc w:val="both"/>
        <w:rPr>
          <w:color w:val="000000"/>
        </w:rPr>
      </w:pPr>
      <w:r>
        <w:rPr>
          <w:color w:val="000000"/>
        </w:rPr>
        <w:t>El PROVEEDOR se compromete a proveer los bienes a la contratante y a subsanar los defectos de éstos de conformidad a las disposiciones del contrato.</w:t>
      </w:r>
    </w:p>
    <w:p w:rsidR="001A4A63" w:rsidRDefault="00AE79FC">
      <w:pPr>
        <w:shd w:val="clear" w:color="auto" w:fill="FFFFFF"/>
        <w:spacing w:after="240"/>
        <w:jc w:val="both"/>
      </w:pPr>
      <w: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1A4A63" w:rsidRDefault="00AE79FC">
      <w:pPr>
        <w:widowControl w:val="0"/>
        <w:pBdr>
          <w:top w:val="nil"/>
          <w:left w:val="nil"/>
          <w:bottom w:val="nil"/>
          <w:right w:val="nil"/>
          <w:between w:val="nil"/>
        </w:pBdr>
        <w:shd w:val="clear" w:color="auto" w:fill="FFFFFF"/>
        <w:spacing w:after="0" w:line="276" w:lineRule="auto"/>
        <w:jc w:val="both"/>
        <w:rPr>
          <w:b/>
          <w:color w:val="000000"/>
          <w:u w:val="single"/>
        </w:rPr>
      </w:pPr>
      <w:r>
        <w:rPr>
          <w:b/>
          <w:color w:val="000000"/>
          <w:u w:val="single"/>
        </w:rPr>
        <w:t>CLÁUSULA SEXTA: VIGENCIA DEL CONTRATO.</w:t>
      </w:r>
    </w:p>
    <w:p w:rsidR="001A4A63" w:rsidRDefault="00AE79FC">
      <w:pPr>
        <w:widowControl w:val="0"/>
        <w:pBdr>
          <w:top w:val="nil"/>
          <w:left w:val="nil"/>
          <w:bottom w:val="nil"/>
          <w:right w:val="nil"/>
          <w:between w:val="nil"/>
        </w:pBdr>
        <w:shd w:val="clear" w:color="auto" w:fill="FFFFFF"/>
        <w:spacing w:after="240" w:line="276" w:lineRule="auto"/>
        <w:jc w:val="both"/>
        <w:rPr>
          <w:b/>
          <w:color w:val="000000"/>
        </w:rPr>
      </w:pPr>
      <w:r>
        <w:rPr>
          <w:color w:val="000000"/>
        </w:rPr>
        <w:t>Este contrato tendrá de vigencia desde el día siguiente de la firma del contrato, hasta el cumplimiento total de las obligaciones.</w:t>
      </w:r>
    </w:p>
    <w:p w:rsidR="001A4A63" w:rsidRDefault="00AE79FC">
      <w:pPr>
        <w:widowControl w:val="0"/>
        <w:pBdr>
          <w:top w:val="nil"/>
          <w:left w:val="nil"/>
          <w:bottom w:val="nil"/>
          <w:right w:val="nil"/>
          <w:between w:val="nil"/>
        </w:pBdr>
        <w:shd w:val="clear" w:color="auto" w:fill="FFFFFF"/>
        <w:tabs>
          <w:tab w:val="left" w:pos="426"/>
        </w:tabs>
        <w:spacing w:before="240" w:after="0" w:line="276" w:lineRule="auto"/>
        <w:jc w:val="both"/>
        <w:rPr>
          <w:b/>
          <w:color w:val="000000"/>
          <w:u w:val="single"/>
        </w:rPr>
      </w:pPr>
      <w:r>
        <w:rPr>
          <w:b/>
          <w:color w:val="000000"/>
          <w:u w:val="single"/>
        </w:rPr>
        <w:t>CLÁUSULA SÉPTIMA: PLAZO, LUGAR Y CONDICIONES DE LA PROVISIÓN DE BIENES.</w:t>
      </w:r>
    </w:p>
    <w:p w:rsidR="001A4A63" w:rsidRDefault="00AE79FC">
      <w:pPr>
        <w:shd w:val="clear" w:color="auto" w:fill="FFFFFF"/>
        <w:spacing w:after="0"/>
        <w:jc w:val="both"/>
      </w:pPr>
      <w:r>
        <w:t>EL PROVEEDOR se obliga expresamente salvo motivo de fuerza mayor debidamente comprobada y aceptada por la CONTRATANTE a proveer los suministros objeto del presente Contrato, dentro de los plazos establecidos en el Cronograma de Entregas del Pliego de Bases y Condiciones.</w:t>
      </w:r>
    </w:p>
    <w:p w:rsidR="001A4A63" w:rsidRDefault="00AE79FC">
      <w:pPr>
        <w:shd w:val="clear" w:color="auto" w:fill="FFFFFF"/>
        <w:spacing w:before="240"/>
        <w:jc w:val="both"/>
      </w:pPr>
      <w:r>
        <w:t xml:space="preserve">El Proveedor deberá hacer entrega de los suministros objetos de este contrato </w:t>
      </w:r>
      <w:r w:rsidRPr="00196834">
        <w:rPr>
          <w:b/>
        </w:rPr>
        <w:t>dentro de los 10 (diez) días corridos, contados a partir del día siguiente de la firma del contrato</w:t>
      </w:r>
      <w:r>
        <w:t>, en el Edificio Central II, Departamento de Gestión de Servicio de Red IP,  5° piso, Mayor Bullo entre Teodoro S. Mongelós y Herminio Giménez, en el horario de lunes a viernes de 08:00 a 14:00 hS. Todos los gastos de traslado  (carga y descarga) correrán por cuenta del Proveedor.</w:t>
      </w:r>
    </w:p>
    <w:p w:rsidR="001A4A63" w:rsidRDefault="00AE79FC">
      <w:pPr>
        <w:shd w:val="clear" w:color="auto" w:fill="FFFFFF"/>
        <w:spacing w:after="0"/>
        <w:rPr>
          <w:u w:val="single"/>
        </w:rPr>
      </w:pPr>
      <w:r>
        <w:rPr>
          <w:b/>
          <w:u w:val="single"/>
        </w:rPr>
        <w:t>CLÁUSULA OCTAVA: ADMINISTRACIÓN DEL CONTRATO.</w:t>
      </w:r>
    </w:p>
    <w:p w:rsidR="001A4A63" w:rsidRDefault="00AE79FC" w:rsidP="00196834">
      <w:pPr>
        <w:shd w:val="clear" w:color="auto" w:fill="FFFFFF"/>
        <w:jc w:val="both"/>
      </w:pPr>
      <w:r>
        <w:t xml:space="preserve">La administración del contrato estará a cargo </w:t>
      </w:r>
      <w:r w:rsidR="00196834">
        <w:t xml:space="preserve">de la </w:t>
      </w:r>
      <w:r w:rsidR="00196834" w:rsidRPr="00196834">
        <w:rPr>
          <w:b/>
          <w:shd w:val="clear" w:color="auto" w:fill="BFBFBF" w:themeFill="background1" w:themeFillShade="BF"/>
        </w:rPr>
        <w:t>GERENCIA TÉCNICA</w:t>
      </w:r>
      <w:r>
        <w:t xml:space="preserve"> para los fines de la fiscalización y control del Contrato, la CONTRATANTE estará representada por uno o más fiscales designados por el administrador.</w:t>
      </w:r>
    </w:p>
    <w:p w:rsidR="001A4A63" w:rsidRDefault="00AE79FC" w:rsidP="006A1714">
      <w:pPr>
        <w:shd w:val="clear" w:color="auto" w:fill="FFFFFF"/>
        <w:jc w:val="both"/>
      </w:pPr>
      <w:r>
        <w:t>Todas las directivas y comunicaciones de cualquier naturaleza entre la CONTRATANTE y el PROVEEDOR se harán exclusivamente por escrito</w:t>
      </w:r>
    </w:p>
    <w:p w:rsidR="001A4A63" w:rsidRDefault="00AE79FC">
      <w:pPr>
        <w:widowControl w:val="0"/>
        <w:pBdr>
          <w:top w:val="nil"/>
          <w:left w:val="nil"/>
          <w:bottom w:val="nil"/>
          <w:right w:val="nil"/>
          <w:between w:val="nil"/>
        </w:pBdr>
        <w:shd w:val="clear" w:color="auto" w:fill="FFFFFF"/>
        <w:tabs>
          <w:tab w:val="left" w:pos="284"/>
        </w:tabs>
        <w:spacing w:after="0" w:line="276" w:lineRule="auto"/>
        <w:jc w:val="both"/>
        <w:rPr>
          <w:b/>
          <w:color w:val="000000"/>
          <w:u w:val="single"/>
        </w:rPr>
      </w:pPr>
      <w:r>
        <w:rPr>
          <w:b/>
          <w:color w:val="000000"/>
          <w:u w:val="single"/>
        </w:rPr>
        <w:t>CLÁUSULA NOVENA: FORMA Y TÉRMINOS PARA GARANTIZAR EL CUMPLIMIENTO DEL CONTRATO.</w:t>
      </w:r>
    </w:p>
    <w:p w:rsidR="001A4A63" w:rsidRDefault="00AE79FC">
      <w:pPr>
        <w:widowControl w:val="0"/>
        <w:pBdr>
          <w:top w:val="nil"/>
          <w:left w:val="nil"/>
          <w:bottom w:val="nil"/>
          <w:right w:val="nil"/>
          <w:between w:val="nil"/>
        </w:pBdr>
        <w:shd w:val="clear" w:color="auto" w:fill="FFFFFF"/>
        <w:tabs>
          <w:tab w:val="left" w:pos="284"/>
        </w:tabs>
        <w:spacing w:after="240" w:line="276" w:lineRule="auto"/>
        <w:jc w:val="both"/>
        <w:rPr>
          <w:color w:val="000000"/>
        </w:rPr>
      </w:pPr>
      <w:r>
        <w:rPr>
          <w:color w:val="000000"/>
        </w:rPr>
        <w:t xml:space="preserve">La garantía para el fiel cumplimiento del contrato se regirá por lo establecido en las Condiciones Contractuales, la cual se presentará a más tardar dentro de los 10 (días) calendarios siguientes a la firma del contrato. </w:t>
      </w:r>
    </w:p>
    <w:p w:rsidR="001A4A63" w:rsidRDefault="00AE79FC">
      <w:pPr>
        <w:widowControl w:val="0"/>
        <w:pBdr>
          <w:top w:val="nil"/>
          <w:left w:val="nil"/>
          <w:bottom w:val="nil"/>
          <w:right w:val="nil"/>
          <w:between w:val="nil"/>
        </w:pBdr>
        <w:shd w:val="clear" w:color="auto" w:fill="FFFFFF"/>
        <w:tabs>
          <w:tab w:val="left" w:pos="284"/>
        </w:tabs>
        <w:spacing w:after="240" w:line="276" w:lineRule="auto"/>
        <w:jc w:val="both"/>
        <w:rPr>
          <w:color w:val="000000"/>
        </w:rPr>
      </w:pPr>
      <w:r>
        <w:rPr>
          <w:color w:val="000000"/>
        </w:rPr>
        <w:lastRenderedPageBreak/>
        <w:t>El PROVEEDOR entregará a la CONTRATANTE una fianza de Cumplimiento de Contrato equivalente al 10% (diez por ciento) del valor total del Contrato y será emitida por medio de una Garantía Bancaria Solidaria de un Banco de Plaza, o una Póliza de Seguros. La falta de constitución y entrega dentro del plazo establecido será causal de rescisión del Contrato por causa imputable al PROVEEDOR.</w:t>
      </w:r>
    </w:p>
    <w:p w:rsidR="001A4A63" w:rsidRDefault="00AE79FC">
      <w:pPr>
        <w:widowControl w:val="0"/>
        <w:pBdr>
          <w:top w:val="nil"/>
          <w:left w:val="nil"/>
          <w:bottom w:val="nil"/>
          <w:right w:val="nil"/>
          <w:between w:val="nil"/>
        </w:pBdr>
        <w:shd w:val="clear" w:color="auto" w:fill="D9D9D9"/>
        <w:tabs>
          <w:tab w:val="left" w:pos="284"/>
        </w:tabs>
        <w:spacing w:after="240" w:line="276" w:lineRule="auto"/>
        <w:jc w:val="both"/>
        <w:rPr>
          <w:color w:val="000000"/>
        </w:rPr>
      </w:pPr>
      <w:r>
        <w:rPr>
          <w:color w:val="000000"/>
        </w:rPr>
        <w:t xml:space="preserve">Si la entrega de los bienes o la prestación de los servicios, se realizare en un plazo menor o igual a diez (10) días corridos posteriores a la firma del contrato, </w:t>
      </w:r>
      <w:r>
        <w:rPr>
          <w:b/>
          <w:color w:val="000000"/>
        </w:rPr>
        <w:t>la Garantía de Fiel Cumplimiento deberá ser entregada antes del cumplimiento de la prestación</w:t>
      </w:r>
      <w:r>
        <w:rPr>
          <w:color w:val="000000"/>
        </w:rPr>
        <w:t>.</w:t>
      </w:r>
    </w:p>
    <w:p w:rsidR="001A4A63" w:rsidRDefault="00AE79FC">
      <w:pPr>
        <w:widowControl w:val="0"/>
        <w:pBdr>
          <w:top w:val="nil"/>
          <w:left w:val="nil"/>
          <w:bottom w:val="nil"/>
          <w:right w:val="nil"/>
          <w:between w:val="nil"/>
        </w:pBdr>
        <w:shd w:val="clear" w:color="auto" w:fill="FFFFFF"/>
        <w:tabs>
          <w:tab w:val="left" w:pos="284"/>
        </w:tabs>
        <w:spacing w:after="240" w:line="276" w:lineRule="auto"/>
        <w:jc w:val="both"/>
        <w:rPr>
          <w:color w:val="000000"/>
        </w:rPr>
      </w:pPr>
      <w:r>
        <w:rPr>
          <w:color w:val="000000"/>
        </w:rPr>
        <w:t xml:space="preserve">La Garantía de Fiel Cumplimiento de Contrato se mantendrá vigente por un periodo de 365 (trescientos sesenta y cinco) días corridos con posterioridad a la </w:t>
      </w:r>
      <w:r>
        <w:t>fecha de terminación</w:t>
      </w:r>
      <w:r>
        <w:rPr>
          <w:color w:val="000000"/>
        </w:rPr>
        <w:t xml:space="preserve"> real del Contrato, certificada por la CONTRATANTE. Una vez transcurrido dicho plazo será devuelta a pedido del PROVEEDOR.</w:t>
      </w:r>
    </w:p>
    <w:p w:rsidR="001A4A63" w:rsidRDefault="00AE79FC">
      <w:pPr>
        <w:widowControl w:val="0"/>
        <w:pBdr>
          <w:top w:val="nil"/>
          <w:left w:val="nil"/>
          <w:bottom w:val="nil"/>
          <w:right w:val="nil"/>
          <w:between w:val="nil"/>
        </w:pBdr>
        <w:shd w:val="clear" w:color="auto" w:fill="FFFFFF"/>
        <w:tabs>
          <w:tab w:val="left" w:pos="284"/>
        </w:tabs>
        <w:spacing w:after="240" w:line="276" w:lineRule="auto"/>
        <w:jc w:val="both"/>
        <w:rPr>
          <w:color w:val="000000"/>
        </w:rPr>
      </w:pPr>
      <w:r>
        <w:rPr>
          <w:color w:val="000000"/>
        </w:rPr>
        <w:t xml:space="preserve">La CONTRATANTE podrá solicitar al PROVEEDOR la extensión de esta Garantía si considera necesario, estando este obligado a presentarla </w:t>
      </w:r>
      <w:r>
        <w:t>dentro del</w:t>
      </w:r>
      <w:r>
        <w:rPr>
          <w:color w:val="000000"/>
        </w:rPr>
        <w:t xml:space="preserve"> plazo </w:t>
      </w:r>
      <w:r w:rsidR="00973C99">
        <w:rPr>
          <w:color w:val="000000"/>
        </w:rPr>
        <w:t xml:space="preserve">establecido en </w:t>
      </w:r>
      <w:r>
        <w:rPr>
          <w:color w:val="000000"/>
        </w:rPr>
        <w:t>la solicitud. La falta de presentación de la extensión en el tiempo estipulado, será considerada incumplimiento contractual y facultará a la CONTRATANTE  a la ejecución de esta Garantía.</w:t>
      </w:r>
    </w:p>
    <w:p w:rsidR="00200375" w:rsidRDefault="00200375" w:rsidP="00200375">
      <w:pPr>
        <w:spacing w:line="240" w:lineRule="auto"/>
        <w:jc w:val="both"/>
      </w:pPr>
      <w:r>
        <w:t>Una vez cumplidas las obligaciones por parte del proveedor o contratista, la Garantía de Fiel Cumplimiento de Contrato podrá ser liberada y devuelta al proveedor, a requerimiento de parte, dentro de los treinta (30) días calendario contados a partir de la fecha de cumplimiento de las obligaciones, incluyendo cualquier obligación relativa a la garantía de los bienes y/o servicios.-</w:t>
      </w:r>
    </w:p>
    <w:p w:rsidR="00200375" w:rsidRDefault="00200375" w:rsidP="00200375">
      <w:pPr>
        <w:spacing w:line="240" w:lineRule="auto"/>
        <w:jc w:val="both"/>
        <w:rPr>
          <w:b/>
        </w:rPr>
      </w:pPr>
      <w:bookmarkStart w:id="1" w:name="_heading=h.w3duuvrz5kow" w:colFirst="0" w:colLast="0"/>
      <w:bookmarkEnd w:id="1"/>
      <w:r>
        <w:t>Tras verificarse el cumplimiento del Proveedor de  todas sus obligacion</w:t>
      </w:r>
      <w:r w:rsidR="00C04B9E">
        <w:t xml:space="preserve">es contractuales y la entrega </w:t>
      </w:r>
      <w:r>
        <w:t xml:space="preserve"> del bien comprometido en su totalidad,  y si el mismos cumple  con el periodo de garantía de calidad e idoneidad,  sin que se hayan formulado observaciones por parte de la Contratante, se emitirá el Acta de Recepción Técnica Definitiva a solicitud del Proveedor, o de oficio por la Contratante, no siendo necesaria en esta circunstancia la Extensión de la Garantía de Cumplimiento de Contrato.-</w:t>
      </w:r>
    </w:p>
    <w:p w:rsidR="001A4A63" w:rsidRDefault="00AE79FC">
      <w:pPr>
        <w:widowControl w:val="0"/>
        <w:pBdr>
          <w:top w:val="nil"/>
          <w:left w:val="nil"/>
          <w:bottom w:val="nil"/>
          <w:right w:val="nil"/>
          <w:between w:val="nil"/>
        </w:pBdr>
        <w:shd w:val="clear" w:color="auto" w:fill="FFFFFF"/>
        <w:tabs>
          <w:tab w:val="left" w:pos="426"/>
        </w:tabs>
        <w:spacing w:after="0" w:line="276" w:lineRule="auto"/>
        <w:jc w:val="both"/>
        <w:rPr>
          <w:b/>
          <w:color w:val="000000"/>
          <w:u w:val="single"/>
        </w:rPr>
      </w:pPr>
      <w:r>
        <w:rPr>
          <w:b/>
          <w:color w:val="000000"/>
          <w:u w:val="single"/>
        </w:rPr>
        <w:t>CLÁUSULA DÉCIMA: MULTAS.</w:t>
      </w:r>
    </w:p>
    <w:p w:rsidR="001A4A63" w:rsidRDefault="00AE79FC">
      <w:pPr>
        <w:widowControl w:val="0"/>
        <w:pBdr>
          <w:top w:val="nil"/>
          <w:left w:val="nil"/>
          <w:bottom w:val="nil"/>
          <w:right w:val="nil"/>
          <w:between w:val="nil"/>
        </w:pBdr>
        <w:shd w:val="clear" w:color="auto" w:fill="FFFFFF"/>
        <w:tabs>
          <w:tab w:val="left" w:pos="426"/>
        </w:tabs>
        <w:spacing w:after="240" w:line="276" w:lineRule="auto"/>
        <w:jc w:val="both"/>
        <w:rPr>
          <w:color w:val="000000"/>
        </w:rPr>
      </w:pPr>
      <w:r>
        <w:rPr>
          <w:color w:val="000000"/>
        </w:rPr>
        <w:t xml:space="preserve">El valor del porcentaje de multas que será aplicado por el atraso en la entrega de los bienes, será de: </w:t>
      </w:r>
      <w:r>
        <w:rPr>
          <w:b/>
          <w:color w:val="000000"/>
        </w:rPr>
        <w:t>0,5% (cero coma cinco por ciento)</w:t>
      </w:r>
      <w:r>
        <w:rPr>
          <w:color w:val="000000"/>
        </w:rPr>
        <w:t xml:space="preserve"> sobre el valor del suministro en demora por cada día de atraso en los plazos estipulados en el Pliego de Bases y Condiciones.</w:t>
      </w:r>
    </w:p>
    <w:p w:rsidR="001A4A63" w:rsidRDefault="00AE79FC">
      <w:pPr>
        <w:widowControl w:val="0"/>
        <w:pBdr>
          <w:top w:val="nil"/>
          <w:left w:val="nil"/>
          <w:bottom w:val="nil"/>
          <w:right w:val="nil"/>
          <w:between w:val="nil"/>
        </w:pBdr>
        <w:shd w:val="clear" w:color="auto" w:fill="FFFFFF"/>
        <w:tabs>
          <w:tab w:val="left" w:pos="426"/>
        </w:tabs>
        <w:spacing w:after="240" w:line="276" w:lineRule="auto"/>
        <w:jc w:val="both"/>
        <w:rPr>
          <w:color w:val="000000"/>
        </w:rPr>
      </w:pPr>
      <w:r>
        <w:rPr>
          <w:color w:val="000000"/>
        </w:rPr>
        <w:t>La contratante podrá deducir en concepto de multas una suma equivalente al porcentaje del precio de entrega de los bienes atrasados, por cada día de atraso indicado en este apartado.</w:t>
      </w:r>
    </w:p>
    <w:p w:rsidR="001A4A63" w:rsidRDefault="00AE79FC">
      <w:pPr>
        <w:widowControl w:val="0"/>
        <w:pBdr>
          <w:top w:val="nil"/>
          <w:left w:val="nil"/>
          <w:bottom w:val="nil"/>
          <w:right w:val="nil"/>
          <w:between w:val="nil"/>
        </w:pBdr>
        <w:shd w:val="clear" w:color="auto" w:fill="FFFFFF"/>
        <w:tabs>
          <w:tab w:val="left" w:pos="426"/>
        </w:tabs>
        <w:spacing w:after="240" w:line="276" w:lineRule="auto"/>
        <w:jc w:val="both"/>
        <w:rPr>
          <w:color w:val="000000"/>
        </w:rPr>
      </w:pPr>
      <w:r>
        <w:rPr>
          <w:color w:val="000000"/>
        </w:rPr>
        <w:t>La aplicación de multas no libera al proveedor del cumplimiento de sus obligaciones contractuales.</w:t>
      </w:r>
    </w:p>
    <w:p w:rsidR="001A4A63" w:rsidRDefault="00AE79FC">
      <w:pPr>
        <w:shd w:val="clear" w:color="auto" w:fill="FFFFFF"/>
        <w:spacing w:after="240"/>
        <w:jc w:val="both"/>
      </w:pPr>
      <w: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resolución de contratos de conformidad al Artículo 122 del Decreto N°2264/25 POR LA CUAL SE REGLAMENTA LA LEY N° 7021/2022 "DE SUMINISTRO Y CONTRATACIONES PÚBLICAS”, caso contrario deberá seguir aplicando el monto de las multas que correspondan.</w:t>
      </w:r>
    </w:p>
    <w:p w:rsidR="001A4A63" w:rsidRDefault="00AE79FC">
      <w:pPr>
        <w:spacing w:after="240"/>
        <w:jc w:val="both"/>
      </w:pPr>
      <w:r>
        <w:lastRenderedPageBreak/>
        <w:t xml:space="preserve">La rescisión o resolución del contrato o la aplicación de multas por encima del porcentaje de la Garantía de Cumplimiento del Contrato deberá comunicarse a la DNCP a los fines previstos en el artículo </w:t>
      </w:r>
      <w:r>
        <w:rPr>
          <w:color w:val="000000"/>
        </w:rPr>
        <w:t>144 de la Ley N° 7021/22.</w:t>
      </w:r>
    </w:p>
    <w:p w:rsidR="001A4A63" w:rsidRDefault="00AE79FC">
      <w:pPr>
        <w:widowControl w:val="0"/>
        <w:pBdr>
          <w:top w:val="nil"/>
          <w:left w:val="nil"/>
          <w:bottom w:val="nil"/>
          <w:right w:val="nil"/>
          <w:between w:val="nil"/>
        </w:pBdr>
        <w:tabs>
          <w:tab w:val="left" w:pos="284"/>
          <w:tab w:val="left" w:pos="426"/>
        </w:tabs>
        <w:spacing w:after="0" w:line="276" w:lineRule="auto"/>
        <w:jc w:val="both"/>
        <w:rPr>
          <w:b/>
          <w:color w:val="000000"/>
          <w:u w:val="single"/>
        </w:rPr>
      </w:pPr>
      <w:r>
        <w:rPr>
          <w:b/>
          <w:color w:val="000000"/>
          <w:u w:val="single"/>
        </w:rPr>
        <w:t>CLÁUSULA DÉCIMA PRIMERA: CAUSALES Y PROCEDIMIENTO PARA SUSPENDER, TERMINAR O RESCINDIR EL CONTRATO.</w:t>
      </w:r>
    </w:p>
    <w:p w:rsidR="001A4A63" w:rsidRDefault="00AE79FC">
      <w:pPr>
        <w:widowControl w:val="0"/>
        <w:pBdr>
          <w:top w:val="nil"/>
          <w:left w:val="nil"/>
          <w:bottom w:val="nil"/>
          <w:right w:val="nil"/>
          <w:between w:val="nil"/>
        </w:pBdr>
        <w:tabs>
          <w:tab w:val="left" w:pos="284"/>
          <w:tab w:val="left" w:pos="426"/>
        </w:tabs>
        <w:spacing w:after="240" w:line="276" w:lineRule="auto"/>
        <w:jc w:val="both"/>
        <w:rPr>
          <w:b/>
          <w:color w:val="000000"/>
        </w:rPr>
      </w:pPr>
      <w:r>
        <w:rPr>
          <w:color w:val="000000"/>
        </w:rPr>
        <w:t>Las causales y el procedimiento para suspender temporalmente, dar por terminado en forma anticipada o rescindir el contrato, son las establecidas la Ley N° 7021/22, y en las Condiciones Contractuales de este pliego de bases y condiciones.</w:t>
      </w:r>
    </w:p>
    <w:p w:rsidR="001A4A63" w:rsidRDefault="00AE79FC">
      <w:pPr>
        <w:widowControl w:val="0"/>
        <w:pBdr>
          <w:top w:val="nil"/>
          <w:left w:val="nil"/>
          <w:bottom w:val="nil"/>
          <w:right w:val="nil"/>
          <w:between w:val="nil"/>
        </w:pBdr>
        <w:tabs>
          <w:tab w:val="left" w:pos="426"/>
        </w:tabs>
        <w:spacing w:after="0" w:line="276" w:lineRule="auto"/>
        <w:jc w:val="both"/>
        <w:rPr>
          <w:b/>
          <w:color w:val="000000"/>
          <w:u w:val="single"/>
        </w:rPr>
      </w:pPr>
      <w:r>
        <w:rPr>
          <w:b/>
          <w:color w:val="000000"/>
          <w:u w:val="single"/>
        </w:rPr>
        <w:t>CLÁUSULA DÉCIMA SEGUNDA: SOLUCIÓN DE CONTROVERSIAS.</w:t>
      </w:r>
    </w:p>
    <w:p w:rsidR="001A4A63" w:rsidRDefault="00AE79FC">
      <w:pPr>
        <w:widowControl w:val="0"/>
        <w:pBdr>
          <w:top w:val="nil"/>
          <w:left w:val="nil"/>
          <w:bottom w:val="nil"/>
          <w:right w:val="nil"/>
          <w:between w:val="nil"/>
        </w:pBdr>
        <w:tabs>
          <w:tab w:val="left" w:pos="426"/>
        </w:tabs>
        <w:spacing w:after="240" w:line="276" w:lineRule="auto"/>
        <w:jc w:val="both"/>
        <w:rPr>
          <w:b/>
          <w:color w:val="000000"/>
        </w:rPr>
      </w:pPr>
      <w:r>
        <w:rPr>
          <w:color w:val="000000"/>
        </w:rPr>
        <w:t>Cualquier diferencia que surja durante la ejecución de los contratos se dirimirá conforme las reglas establecidas en la legislación aplicable y en las Condiciones Contractuales.</w:t>
      </w:r>
    </w:p>
    <w:p w:rsidR="001A4A63" w:rsidRDefault="00EA1AD5">
      <w:pPr>
        <w:spacing w:after="0"/>
        <w:jc w:val="both"/>
        <w:rPr>
          <w:b/>
          <w:u w:val="single"/>
        </w:rPr>
      </w:pPr>
      <w:r>
        <w:rPr>
          <w:b/>
          <w:u w:val="single"/>
        </w:rPr>
        <w:t>CLÁUSULA DÉCIMA TERCERA: REA</w:t>
      </w:r>
      <w:r w:rsidR="00AE79FC">
        <w:rPr>
          <w:b/>
          <w:u w:val="single"/>
        </w:rPr>
        <w:t>JUSTE DE PRECIOS.</w:t>
      </w:r>
    </w:p>
    <w:p w:rsidR="001A4A63" w:rsidRDefault="00AE79FC">
      <w:pPr>
        <w:spacing w:line="240" w:lineRule="auto"/>
        <w:ind w:right="-74"/>
        <w:jc w:val="both"/>
      </w:pPr>
      <w:r>
        <w:t>El PROVEEDOR tendrá derecho a solicitar los reajustes en los términos establecidos en los Artículos 66, Inciso b), y 70 de la Ley Nº 7.021/2022 “De Suministro y Contrataciones Públicas.-</w:t>
      </w:r>
    </w:p>
    <w:p w:rsidR="001A4A63" w:rsidRDefault="00AE79FC">
      <w:pPr>
        <w:widowControl w:val="0"/>
        <w:pBdr>
          <w:top w:val="nil"/>
          <w:left w:val="nil"/>
          <w:bottom w:val="nil"/>
          <w:right w:val="nil"/>
          <w:between w:val="nil"/>
        </w:pBdr>
        <w:tabs>
          <w:tab w:val="left" w:pos="426"/>
        </w:tabs>
        <w:spacing w:after="240" w:line="276" w:lineRule="auto"/>
        <w:jc w:val="both"/>
        <w:rPr>
          <w:i/>
          <w:color w:val="000000"/>
        </w:rPr>
      </w:pPr>
      <w:r>
        <w:rPr>
          <w:color w:val="000000"/>
        </w:rPr>
        <w:t xml:space="preserve">Corresponderá el reajuste de precios solamente a la variación de la cotización del dólar americano publicada oficialmente por el Banco Central del Paraguay (B.C.P.) en el periodo comprendido entre la fecha de la firma del Contrato y la fecha de vencimiento del plazo de entrega del suministro. No se considerarán las variaciones fuera del periodo indicado. </w:t>
      </w:r>
    </w:p>
    <w:p w:rsidR="001A4A63" w:rsidRDefault="00AE79FC">
      <w:pPr>
        <w:spacing w:after="0"/>
        <w:jc w:val="both"/>
        <w:rPr>
          <w:b/>
        </w:rPr>
      </w:pPr>
      <w:r>
        <w:rPr>
          <w:b/>
        </w:rPr>
        <w:t>Fórmula para Variación y Ajuste de precios:</w:t>
      </w:r>
    </w:p>
    <w:p w:rsidR="001A4A63" w:rsidRPr="00BC27BE" w:rsidRDefault="00AE79FC">
      <w:pPr>
        <w:spacing w:after="0"/>
        <w:jc w:val="both"/>
        <w:rPr>
          <w:lang w:val="en-US"/>
        </w:rPr>
      </w:pPr>
      <w:r w:rsidRPr="00BC27BE">
        <w:rPr>
          <w:lang w:val="en-US"/>
        </w:rPr>
        <w:t>P= Po x [1+K x ((C – Co)/Co)]</w:t>
      </w:r>
    </w:p>
    <w:p w:rsidR="001A4A63" w:rsidRDefault="00AE79FC">
      <w:pPr>
        <w:spacing w:after="0"/>
        <w:jc w:val="both"/>
        <w:rPr>
          <w:b/>
        </w:rPr>
      </w:pPr>
      <w:r>
        <w:rPr>
          <w:b/>
        </w:rPr>
        <w:t xml:space="preserve">Dónde: </w:t>
      </w:r>
    </w:p>
    <w:p w:rsidR="001A4A63" w:rsidRDefault="00AE79FC">
      <w:pPr>
        <w:spacing w:after="0"/>
        <w:jc w:val="both"/>
      </w:pPr>
      <w:r>
        <w:t>P= Precio a pagar.</w:t>
      </w:r>
    </w:p>
    <w:p w:rsidR="001A4A63" w:rsidRDefault="00AE79FC">
      <w:pPr>
        <w:spacing w:after="0"/>
        <w:jc w:val="both"/>
      </w:pPr>
      <w:r>
        <w:t>Po= Precio ofertado.</w:t>
      </w:r>
    </w:p>
    <w:p w:rsidR="001A4A63" w:rsidRDefault="00AE79FC">
      <w:pPr>
        <w:spacing w:after="0"/>
        <w:jc w:val="both"/>
      </w:pPr>
      <w:r>
        <w:t>C= Cotización del Dólar Americano a la fecha de la firma del Contrato.</w:t>
      </w:r>
    </w:p>
    <w:p w:rsidR="001A4A63" w:rsidRDefault="00AE79FC">
      <w:pPr>
        <w:spacing w:after="0"/>
        <w:jc w:val="both"/>
      </w:pPr>
      <w:r>
        <w:t>Co= Cotización del Dólar Americano a la fecha de la apertura de sobre de ofertas.</w:t>
      </w:r>
    </w:p>
    <w:p w:rsidR="001A4A63" w:rsidRDefault="00AE79FC">
      <w:pPr>
        <w:spacing w:after="0"/>
        <w:jc w:val="both"/>
      </w:pPr>
      <w:r>
        <w:t>K= Factor de ponderación de la variación del Dólar Americano.</w:t>
      </w:r>
    </w:p>
    <w:p w:rsidR="001A4A63" w:rsidRDefault="00AE79FC" w:rsidP="003C2EB3">
      <w:pPr>
        <w:spacing w:before="240"/>
        <w:jc w:val="both"/>
        <w:rPr>
          <w:b/>
        </w:rPr>
      </w:pPr>
      <w:r>
        <w:rPr>
          <w:b/>
        </w:rPr>
        <w:t>El valor de ponderación K será:</w:t>
      </w:r>
    </w:p>
    <w:tbl>
      <w:tblPr>
        <w:tblStyle w:val="a0"/>
        <w:tblpPr w:leftFromText="141" w:rightFromText="141" w:vertAnchor="text" w:tblpXSpec="center" w:tblpY="1"/>
        <w:tblOverlap w:val="never"/>
        <w:tblW w:w="636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942"/>
        <w:gridCol w:w="2221"/>
        <w:gridCol w:w="2203"/>
      </w:tblGrid>
      <w:tr w:rsidR="001A4A63" w:rsidRPr="00E204A0" w:rsidTr="00923F86">
        <w:trPr>
          <w:trHeight w:val="279"/>
        </w:trPr>
        <w:tc>
          <w:tcPr>
            <w:tcW w:w="1942" w:type="dxa"/>
            <w:vAlign w:val="center"/>
          </w:tcPr>
          <w:p w:rsidR="001A4A63" w:rsidRPr="00923F86" w:rsidRDefault="00AE79FC" w:rsidP="00923F86">
            <w:pPr>
              <w:jc w:val="both"/>
              <w:rPr>
                <w:b/>
                <w:sz w:val="20"/>
                <w:szCs w:val="20"/>
              </w:rPr>
            </w:pPr>
            <w:r w:rsidRPr="00923F86">
              <w:rPr>
                <w:b/>
                <w:sz w:val="20"/>
                <w:szCs w:val="20"/>
              </w:rPr>
              <w:t>Valor del factor de ponderación</w:t>
            </w:r>
          </w:p>
        </w:tc>
        <w:tc>
          <w:tcPr>
            <w:tcW w:w="4424" w:type="dxa"/>
            <w:gridSpan w:val="2"/>
            <w:vAlign w:val="center"/>
          </w:tcPr>
          <w:p w:rsidR="001A4A63" w:rsidRPr="00923F86" w:rsidRDefault="00AE79FC" w:rsidP="00923F86">
            <w:pPr>
              <w:jc w:val="both"/>
              <w:rPr>
                <w:b/>
                <w:sz w:val="20"/>
                <w:szCs w:val="20"/>
              </w:rPr>
            </w:pPr>
            <w:r w:rsidRPr="00923F86">
              <w:rPr>
                <w:b/>
                <w:sz w:val="20"/>
                <w:szCs w:val="20"/>
              </w:rPr>
              <w:t>Rango de porcentaje (%) de variación de la cotización del Dólar Americano</w:t>
            </w:r>
          </w:p>
        </w:tc>
      </w:tr>
      <w:tr w:rsidR="001A4A63" w:rsidRPr="00E204A0" w:rsidTr="00923F86">
        <w:trPr>
          <w:trHeight w:val="257"/>
        </w:trPr>
        <w:tc>
          <w:tcPr>
            <w:tcW w:w="1942" w:type="dxa"/>
            <w:vAlign w:val="center"/>
          </w:tcPr>
          <w:p w:rsidR="001A4A63" w:rsidRPr="00923F86" w:rsidRDefault="00AE79FC" w:rsidP="00923F86">
            <w:pPr>
              <w:rPr>
                <w:b/>
                <w:sz w:val="20"/>
                <w:szCs w:val="20"/>
              </w:rPr>
            </w:pPr>
            <w:r w:rsidRPr="00923F86">
              <w:rPr>
                <w:b/>
                <w:sz w:val="20"/>
                <w:szCs w:val="20"/>
              </w:rPr>
              <w:t>K</w:t>
            </w:r>
          </w:p>
        </w:tc>
        <w:tc>
          <w:tcPr>
            <w:tcW w:w="2221" w:type="dxa"/>
            <w:vAlign w:val="center"/>
          </w:tcPr>
          <w:p w:rsidR="001A4A63" w:rsidRPr="00923F86" w:rsidRDefault="00AE79FC" w:rsidP="00923F86">
            <w:pPr>
              <w:rPr>
                <w:b/>
                <w:sz w:val="20"/>
                <w:szCs w:val="20"/>
              </w:rPr>
            </w:pPr>
            <w:r w:rsidRPr="00923F86">
              <w:rPr>
                <w:b/>
                <w:sz w:val="20"/>
                <w:szCs w:val="20"/>
              </w:rPr>
              <w:t>Desde</w:t>
            </w:r>
          </w:p>
        </w:tc>
        <w:tc>
          <w:tcPr>
            <w:tcW w:w="2203" w:type="dxa"/>
            <w:vAlign w:val="center"/>
          </w:tcPr>
          <w:p w:rsidR="001A4A63" w:rsidRPr="00923F86" w:rsidRDefault="00AE79FC" w:rsidP="00923F86">
            <w:pPr>
              <w:rPr>
                <w:b/>
                <w:sz w:val="20"/>
                <w:szCs w:val="20"/>
              </w:rPr>
            </w:pPr>
            <w:r w:rsidRPr="00923F86">
              <w:rPr>
                <w:b/>
                <w:sz w:val="20"/>
                <w:szCs w:val="20"/>
              </w:rPr>
              <w:t>Hasta</w:t>
            </w:r>
          </w:p>
        </w:tc>
      </w:tr>
      <w:tr w:rsidR="001A4A63" w:rsidRPr="00E204A0" w:rsidTr="00923F86">
        <w:trPr>
          <w:trHeight w:val="279"/>
        </w:trPr>
        <w:tc>
          <w:tcPr>
            <w:tcW w:w="1942" w:type="dxa"/>
            <w:vAlign w:val="center"/>
          </w:tcPr>
          <w:p w:rsidR="001A4A63" w:rsidRPr="00923F86" w:rsidRDefault="00AE79FC" w:rsidP="00923F86">
            <w:pPr>
              <w:rPr>
                <w:sz w:val="20"/>
                <w:szCs w:val="20"/>
              </w:rPr>
            </w:pPr>
            <w:r w:rsidRPr="00923F86">
              <w:rPr>
                <w:sz w:val="20"/>
                <w:szCs w:val="20"/>
              </w:rPr>
              <w:t>0,00</w:t>
            </w:r>
          </w:p>
        </w:tc>
        <w:tc>
          <w:tcPr>
            <w:tcW w:w="2221" w:type="dxa"/>
            <w:vAlign w:val="center"/>
          </w:tcPr>
          <w:p w:rsidR="001A4A63" w:rsidRPr="00923F86" w:rsidRDefault="00AE79FC" w:rsidP="00923F86">
            <w:pPr>
              <w:rPr>
                <w:sz w:val="20"/>
                <w:szCs w:val="20"/>
              </w:rPr>
            </w:pPr>
            <w:r w:rsidRPr="00923F86">
              <w:rPr>
                <w:sz w:val="20"/>
                <w:szCs w:val="20"/>
              </w:rPr>
              <w:t>0</w:t>
            </w:r>
          </w:p>
        </w:tc>
        <w:tc>
          <w:tcPr>
            <w:tcW w:w="2203" w:type="dxa"/>
            <w:vAlign w:val="center"/>
          </w:tcPr>
          <w:p w:rsidR="001A4A63" w:rsidRPr="00923F86" w:rsidRDefault="00AE79FC" w:rsidP="00923F86">
            <w:pPr>
              <w:rPr>
                <w:sz w:val="20"/>
                <w:szCs w:val="20"/>
              </w:rPr>
            </w:pPr>
            <w:r w:rsidRPr="00923F86">
              <w:rPr>
                <w:sz w:val="20"/>
                <w:szCs w:val="20"/>
              </w:rPr>
              <w:t>15</w:t>
            </w:r>
          </w:p>
        </w:tc>
      </w:tr>
      <w:tr w:rsidR="001A4A63" w:rsidRPr="00E204A0" w:rsidTr="00923F86">
        <w:trPr>
          <w:trHeight w:val="279"/>
        </w:trPr>
        <w:tc>
          <w:tcPr>
            <w:tcW w:w="1942" w:type="dxa"/>
            <w:vAlign w:val="center"/>
          </w:tcPr>
          <w:p w:rsidR="001A4A63" w:rsidRPr="00923F86" w:rsidRDefault="00AE79FC" w:rsidP="00923F86">
            <w:pPr>
              <w:rPr>
                <w:sz w:val="20"/>
                <w:szCs w:val="20"/>
              </w:rPr>
            </w:pPr>
            <w:r w:rsidRPr="00923F86">
              <w:rPr>
                <w:sz w:val="20"/>
                <w:szCs w:val="20"/>
              </w:rPr>
              <w:t>0,05</w:t>
            </w:r>
          </w:p>
        </w:tc>
        <w:tc>
          <w:tcPr>
            <w:tcW w:w="2221" w:type="dxa"/>
            <w:vAlign w:val="center"/>
          </w:tcPr>
          <w:p w:rsidR="001A4A63" w:rsidRPr="00923F86" w:rsidRDefault="00AE79FC" w:rsidP="00923F86">
            <w:pPr>
              <w:rPr>
                <w:sz w:val="20"/>
                <w:szCs w:val="20"/>
              </w:rPr>
            </w:pPr>
            <w:r w:rsidRPr="00923F86">
              <w:rPr>
                <w:sz w:val="20"/>
                <w:szCs w:val="20"/>
              </w:rPr>
              <w:t>16</w:t>
            </w:r>
          </w:p>
        </w:tc>
        <w:tc>
          <w:tcPr>
            <w:tcW w:w="2203" w:type="dxa"/>
            <w:vAlign w:val="center"/>
          </w:tcPr>
          <w:p w:rsidR="001A4A63" w:rsidRPr="00923F86" w:rsidRDefault="00AE79FC" w:rsidP="00923F86">
            <w:pPr>
              <w:rPr>
                <w:sz w:val="20"/>
                <w:szCs w:val="20"/>
              </w:rPr>
            </w:pPr>
            <w:r w:rsidRPr="00923F86">
              <w:rPr>
                <w:sz w:val="20"/>
                <w:szCs w:val="20"/>
              </w:rPr>
              <w:t>30</w:t>
            </w:r>
          </w:p>
        </w:tc>
      </w:tr>
      <w:tr w:rsidR="001A4A63" w:rsidRPr="00E204A0" w:rsidTr="00923F86">
        <w:trPr>
          <w:trHeight w:val="257"/>
        </w:trPr>
        <w:tc>
          <w:tcPr>
            <w:tcW w:w="1942" w:type="dxa"/>
            <w:vAlign w:val="center"/>
          </w:tcPr>
          <w:p w:rsidR="001A4A63" w:rsidRPr="00923F86" w:rsidRDefault="00AE79FC" w:rsidP="00923F86">
            <w:pPr>
              <w:rPr>
                <w:sz w:val="20"/>
                <w:szCs w:val="20"/>
              </w:rPr>
            </w:pPr>
            <w:r w:rsidRPr="00923F86">
              <w:rPr>
                <w:sz w:val="20"/>
                <w:szCs w:val="20"/>
              </w:rPr>
              <w:t>0,10</w:t>
            </w:r>
          </w:p>
        </w:tc>
        <w:tc>
          <w:tcPr>
            <w:tcW w:w="2221" w:type="dxa"/>
            <w:vAlign w:val="center"/>
          </w:tcPr>
          <w:p w:rsidR="001A4A63" w:rsidRPr="00923F86" w:rsidRDefault="00AE79FC" w:rsidP="00923F86">
            <w:pPr>
              <w:rPr>
                <w:sz w:val="20"/>
                <w:szCs w:val="20"/>
              </w:rPr>
            </w:pPr>
            <w:r w:rsidRPr="00923F86">
              <w:rPr>
                <w:sz w:val="20"/>
                <w:szCs w:val="20"/>
              </w:rPr>
              <w:t>31</w:t>
            </w:r>
          </w:p>
        </w:tc>
        <w:tc>
          <w:tcPr>
            <w:tcW w:w="2203" w:type="dxa"/>
            <w:vAlign w:val="center"/>
          </w:tcPr>
          <w:p w:rsidR="001A4A63" w:rsidRPr="00923F86" w:rsidRDefault="00AE79FC" w:rsidP="00923F86">
            <w:pPr>
              <w:rPr>
                <w:sz w:val="20"/>
                <w:szCs w:val="20"/>
              </w:rPr>
            </w:pPr>
            <w:r w:rsidRPr="00923F86">
              <w:rPr>
                <w:sz w:val="20"/>
                <w:szCs w:val="20"/>
              </w:rPr>
              <w:t>45</w:t>
            </w:r>
          </w:p>
        </w:tc>
      </w:tr>
      <w:tr w:rsidR="001A4A63" w:rsidRPr="00E204A0" w:rsidTr="00923F86">
        <w:trPr>
          <w:trHeight w:val="279"/>
        </w:trPr>
        <w:tc>
          <w:tcPr>
            <w:tcW w:w="1942" w:type="dxa"/>
            <w:vAlign w:val="center"/>
          </w:tcPr>
          <w:p w:rsidR="001A4A63" w:rsidRPr="00923F86" w:rsidRDefault="00AE79FC" w:rsidP="00923F86">
            <w:pPr>
              <w:rPr>
                <w:sz w:val="20"/>
                <w:szCs w:val="20"/>
              </w:rPr>
            </w:pPr>
            <w:r w:rsidRPr="00923F86">
              <w:rPr>
                <w:sz w:val="20"/>
                <w:szCs w:val="20"/>
              </w:rPr>
              <w:t>0,15</w:t>
            </w:r>
          </w:p>
        </w:tc>
        <w:tc>
          <w:tcPr>
            <w:tcW w:w="2221" w:type="dxa"/>
            <w:vAlign w:val="center"/>
          </w:tcPr>
          <w:p w:rsidR="001A4A63" w:rsidRPr="00923F86" w:rsidRDefault="00AE79FC" w:rsidP="00923F86">
            <w:pPr>
              <w:rPr>
                <w:sz w:val="20"/>
                <w:szCs w:val="20"/>
              </w:rPr>
            </w:pPr>
            <w:r w:rsidRPr="00923F86">
              <w:rPr>
                <w:sz w:val="20"/>
                <w:szCs w:val="20"/>
              </w:rPr>
              <w:t>46</w:t>
            </w:r>
          </w:p>
        </w:tc>
        <w:tc>
          <w:tcPr>
            <w:tcW w:w="2203" w:type="dxa"/>
            <w:vAlign w:val="center"/>
          </w:tcPr>
          <w:p w:rsidR="001A4A63" w:rsidRPr="00923F86" w:rsidRDefault="00AE79FC" w:rsidP="00923F86">
            <w:pPr>
              <w:rPr>
                <w:sz w:val="20"/>
                <w:szCs w:val="20"/>
              </w:rPr>
            </w:pPr>
            <w:r w:rsidRPr="00923F86">
              <w:rPr>
                <w:sz w:val="20"/>
                <w:szCs w:val="20"/>
              </w:rPr>
              <w:t>60</w:t>
            </w:r>
          </w:p>
        </w:tc>
      </w:tr>
      <w:tr w:rsidR="001A4A63" w:rsidRPr="00E204A0" w:rsidTr="00923F86">
        <w:trPr>
          <w:trHeight w:val="279"/>
        </w:trPr>
        <w:tc>
          <w:tcPr>
            <w:tcW w:w="1942" w:type="dxa"/>
            <w:vAlign w:val="center"/>
          </w:tcPr>
          <w:p w:rsidR="001A4A63" w:rsidRPr="00923F86" w:rsidRDefault="00AE79FC" w:rsidP="00923F86">
            <w:pPr>
              <w:rPr>
                <w:sz w:val="20"/>
                <w:szCs w:val="20"/>
              </w:rPr>
            </w:pPr>
            <w:r w:rsidRPr="00923F86">
              <w:rPr>
                <w:sz w:val="20"/>
                <w:szCs w:val="20"/>
              </w:rPr>
              <w:t>0,20</w:t>
            </w:r>
          </w:p>
        </w:tc>
        <w:tc>
          <w:tcPr>
            <w:tcW w:w="2221" w:type="dxa"/>
            <w:vAlign w:val="center"/>
          </w:tcPr>
          <w:p w:rsidR="001A4A63" w:rsidRPr="00923F86" w:rsidRDefault="00AE79FC" w:rsidP="00923F86">
            <w:pPr>
              <w:rPr>
                <w:sz w:val="20"/>
                <w:szCs w:val="20"/>
              </w:rPr>
            </w:pPr>
            <w:r w:rsidRPr="00923F86">
              <w:rPr>
                <w:sz w:val="20"/>
                <w:szCs w:val="20"/>
              </w:rPr>
              <w:t>61</w:t>
            </w:r>
          </w:p>
        </w:tc>
        <w:tc>
          <w:tcPr>
            <w:tcW w:w="2203" w:type="dxa"/>
            <w:vAlign w:val="center"/>
          </w:tcPr>
          <w:p w:rsidR="001A4A63" w:rsidRPr="00923F86" w:rsidRDefault="00AE79FC" w:rsidP="00923F86">
            <w:pPr>
              <w:rPr>
                <w:sz w:val="20"/>
                <w:szCs w:val="20"/>
              </w:rPr>
            </w:pPr>
            <w:r w:rsidRPr="00923F86">
              <w:rPr>
                <w:sz w:val="20"/>
                <w:szCs w:val="20"/>
              </w:rPr>
              <w:t>75</w:t>
            </w:r>
          </w:p>
        </w:tc>
      </w:tr>
      <w:tr w:rsidR="001A4A63" w:rsidRPr="00E204A0" w:rsidTr="00923F86">
        <w:trPr>
          <w:trHeight w:val="279"/>
        </w:trPr>
        <w:tc>
          <w:tcPr>
            <w:tcW w:w="1942" w:type="dxa"/>
            <w:vAlign w:val="center"/>
          </w:tcPr>
          <w:p w:rsidR="001A4A63" w:rsidRPr="00923F86" w:rsidRDefault="00AE79FC" w:rsidP="00923F86">
            <w:pPr>
              <w:rPr>
                <w:sz w:val="20"/>
                <w:szCs w:val="20"/>
              </w:rPr>
            </w:pPr>
            <w:r w:rsidRPr="00923F86">
              <w:rPr>
                <w:sz w:val="20"/>
                <w:szCs w:val="20"/>
              </w:rPr>
              <w:t>0,25</w:t>
            </w:r>
          </w:p>
        </w:tc>
        <w:tc>
          <w:tcPr>
            <w:tcW w:w="2221" w:type="dxa"/>
            <w:vAlign w:val="center"/>
          </w:tcPr>
          <w:p w:rsidR="001A4A63" w:rsidRPr="00923F86" w:rsidRDefault="00AE79FC" w:rsidP="00923F86">
            <w:pPr>
              <w:rPr>
                <w:sz w:val="20"/>
                <w:szCs w:val="20"/>
              </w:rPr>
            </w:pPr>
            <w:r w:rsidRPr="00923F86">
              <w:rPr>
                <w:sz w:val="20"/>
                <w:szCs w:val="20"/>
              </w:rPr>
              <w:t>76</w:t>
            </w:r>
          </w:p>
        </w:tc>
        <w:tc>
          <w:tcPr>
            <w:tcW w:w="2203" w:type="dxa"/>
            <w:vAlign w:val="center"/>
          </w:tcPr>
          <w:p w:rsidR="001A4A63" w:rsidRPr="00923F86" w:rsidRDefault="00AE79FC" w:rsidP="00923F86">
            <w:pPr>
              <w:rPr>
                <w:sz w:val="20"/>
                <w:szCs w:val="20"/>
              </w:rPr>
            </w:pPr>
            <w:r w:rsidRPr="00923F86">
              <w:rPr>
                <w:sz w:val="20"/>
                <w:szCs w:val="20"/>
              </w:rPr>
              <w:t>90</w:t>
            </w:r>
          </w:p>
        </w:tc>
      </w:tr>
      <w:tr w:rsidR="001A4A63" w:rsidRPr="00E204A0" w:rsidTr="00923F86">
        <w:trPr>
          <w:trHeight w:val="279"/>
        </w:trPr>
        <w:tc>
          <w:tcPr>
            <w:tcW w:w="1942" w:type="dxa"/>
            <w:vAlign w:val="center"/>
          </w:tcPr>
          <w:p w:rsidR="001A4A63" w:rsidRPr="00923F86" w:rsidRDefault="00AE79FC" w:rsidP="00923F86">
            <w:pPr>
              <w:rPr>
                <w:sz w:val="20"/>
                <w:szCs w:val="20"/>
              </w:rPr>
            </w:pPr>
            <w:r w:rsidRPr="00923F86">
              <w:rPr>
                <w:sz w:val="20"/>
                <w:szCs w:val="20"/>
              </w:rPr>
              <w:t>0,30</w:t>
            </w:r>
          </w:p>
        </w:tc>
        <w:tc>
          <w:tcPr>
            <w:tcW w:w="4424" w:type="dxa"/>
            <w:gridSpan w:val="2"/>
            <w:vAlign w:val="center"/>
          </w:tcPr>
          <w:p w:rsidR="001A4A63" w:rsidRPr="00923F86" w:rsidRDefault="00AE79FC" w:rsidP="00923F86">
            <w:pPr>
              <w:rPr>
                <w:sz w:val="20"/>
                <w:szCs w:val="20"/>
              </w:rPr>
            </w:pPr>
            <w:r w:rsidRPr="00923F86">
              <w:rPr>
                <w:sz w:val="20"/>
                <w:szCs w:val="20"/>
              </w:rPr>
              <w:t>&gt;=91</w:t>
            </w:r>
          </w:p>
        </w:tc>
      </w:tr>
    </w:tbl>
    <w:p w:rsidR="001A4A63" w:rsidRDefault="00923F86">
      <w:pPr>
        <w:spacing w:line="240" w:lineRule="auto"/>
        <w:jc w:val="both"/>
      </w:pPr>
      <w:r>
        <w:br w:type="textWrapping" w:clear="all"/>
      </w:r>
      <w:r w:rsidR="00AE79FC">
        <w:t>El pago del reajuste se hará en guaraníes. Para el efecto, el PROVEEDOR presentará las facturas de reajuste en forma independiente de las facturas a ser presentadas conforme a lo establecido en la Cláusula del Contrato “Forma de Pago”. En ningún caso podrá presentar facturas de reajuste correspondiente a suministros no entregados.-</w:t>
      </w:r>
    </w:p>
    <w:p w:rsidR="001A4A63" w:rsidRDefault="00AE79FC">
      <w:pPr>
        <w:spacing w:line="240" w:lineRule="auto"/>
        <w:jc w:val="both"/>
      </w:pPr>
      <w:r>
        <w:lastRenderedPageBreak/>
        <w:t xml:space="preserve">En caso de que la variación sea decreciente (baja del dólar), la CONTRATANTE tendrá el derecho a realizar los ajustes del pago en las mismas condiciones del caso anterior. El ajuste del monto de la factura a cobrar se realizará previo al pago correspondiente.- </w:t>
      </w:r>
    </w:p>
    <w:p w:rsidR="001A4A63" w:rsidRDefault="00AE79FC">
      <w:pPr>
        <w:spacing w:line="240" w:lineRule="auto"/>
        <w:jc w:val="both"/>
      </w:pPr>
      <w:r>
        <w:t>No se reconocerán reajustes de precios si la ejecución del suministro se encuentra con retraso con respecto al plan de entrega aprobado. El pago del reajuste no estará sujeto a los plazos establecidos para el pago del suministro principal.-</w:t>
      </w:r>
    </w:p>
    <w:p w:rsidR="001A4A63" w:rsidRDefault="00AE79FC">
      <w:pPr>
        <w:spacing w:line="240" w:lineRule="auto"/>
        <w:jc w:val="both"/>
      </w:pPr>
      <w:r>
        <w:t>El PROVEEDOR no podrá aprovecharse de ningún error aparente u omisión que hubiere en las fórmulas de reajuste. Si se descubriese algún error aparente o discrepancia, deberá informar a LA CONVOCANTE para que lo interprete y dilucide. La decisión de ésta será inapelable.-</w:t>
      </w:r>
    </w:p>
    <w:p w:rsidR="001A4A63" w:rsidRDefault="00AE79FC">
      <w:pPr>
        <w:widowControl w:val="0"/>
        <w:pBdr>
          <w:top w:val="nil"/>
          <w:left w:val="nil"/>
          <w:bottom w:val="nil"/>
          <w:right w:val="nil"/>
          <w:between w:val="nil"/>
        </w:pBdr>
        <w:tabs>
          <w:tab w:val="left" w:pos="426"/>
        </w:tabs>
        <w:spacing w:after="240" w:line="276" w:lineRule="auto"/>
        <w:jc w:val="both"/>
        <w:rPr>
          <w:b/>
          <w:color w:val="000000"/>
          <w:u w:val="single"/>
        </w:rPr>
      </w:pPr>
      <w:bookmarkStart w:id="2" w:name="_heading=h.tqnifjlvrn40" w:colFirst="0" w:colLast="0"/>
      <w:bookmarkEnd w:id="2"/>
      <w:r>
        <w:rPr>
          <w:b/>
          <w:color w:val="000000"/>
          <w:u w:val="single"/>
        </w:rPr>
        <w:t>CLÁUSULA DÉCIMA CUARTA: RECEPCIÓN DE LOS SUMINISTROS.</w:t>
      </w:r>
    </w:p>
    <w:p w:rsidR="001A4A63" w:rsidRDefault="00AE79FC">
      <w:pPr>
        <w:widowControl w:val="0"/>
        <w:pBdr>
          <w:top w:val="nil"/>
          <w:left w:val="nil"/>
          <w:bottom w:val="nil"/>
          <w:right w:val="nil"/>
          <w:between w:val="nil"/>
        </w:pBdr>
        <w:tabs>
          <w:tab w:val="left" w:pos="426"/>
        </w:tabs>
        <w:spacing w:after="240" w:line="276" w:lineRule="auto"/>
        <w:jc w:val="both"/>
        <w:rPr>
          <w:color w:val="000000"/>
        </w:rPr>
      </w:pPr>
      <w:r>
        <w:rPr>
          <w:color w:val="000000"/>
        </w:rPr>
        <w:t>Una vez recibidos la totalidad del bien adquirido en el plazo establecido en las Condiciones Contractuales del P.B.C., y dentro de los 30 (treinta) días hábiles siguientes a la solicitud por parte del PROVEEDOR, la CONTRATANTE deberá realizar las verificaciones técnicas de los suministros y si los mismos se ajustan a las Especificaciones Técnicas y demás documentos del Contrato, se emitirá el Protocolo de Pruebas Técnicas que servirá de base para la Recepción Técnica Provisoria.</w:t>
      </w:r>
    </w:p>
    <w:p w:rsidR="001A4A63" w:rsidRDefault="00AE79FC">
      <w:pPr>
        <w:widowControl w:val="0"/>
        <w:pBdr>
          <w:top w:val="nil"/>
          <w:left w:val="nil"/>
          <w:bottom w:val="nil"/>
          <w:right w:val="nil"/>
          <w:between w:val="nil"/>
        </w:pBdr>
        <w:tabs>
          <w:tab w:val="left" w:pos="426"/>
        </w:tabs>
        <w:spacing w:after="240" w:line="276" w:lineRule="auto"/>
        <w:jc w:val="both"/>
        <w:rPr>
          <w:color w:val="000000"/>
        </w:rPr>
      </w:pPr>
      <w:r>
        <w:rPr>
          <w:color w:val="000000"/>
        </w:rPr>
        <w:t>La emisión del Acta de Recepción Técnica Definitiva, significará a todos los efectos, el cumplimiento por parte del PROVEEDOR, de todas sus obligaciones contractuales, y será emitida a solicitud de interesado, luego de 365 (trescientos sesenta y cinco) días calendario días corridos  posteriores a la fecha de Terminación Real del Contrato</w:t>
      </w:r>
    </w:p>
    <w:p w:rsidR="008D718F" w:rsidRDefault="00AE79FC" w:rsidP="008D718F">
      <w:pPr>
        <w:widowControl w:val="0"/>
        <w:pBdr>
          <w:top w:val="nil"/>
          <w:left w:val="nil"/>
          <w:bottom w:val="nil"/>
          <w:right w:val="nil"/>
          <w:between w:val="nil"/>
        </w:pBdr>
        <w:tabs>
          <w:tab w:val="left" w:pos="426"/>
        </w:tabs>
        <w:spacing w:line="276" w:lineRule="auto"/>
        <w:jc w:val="both"/>
        <w:rPr>
          <w:color w:val="000000"/>
        </w:rPr>
      </w:pPr>
      <w:r>
        <w:rPr>
          <w:color w:val="000000"/>
        </w:rPr>
        <w:t>Trascurrido el periodo de garantía y si no se encontrase</w:t>
      </w:r>
      <w:r w:rsidR="00101B79">
        <w:rPr>
          <w:color w:val="000000"/>
        </w:rPr>
        <w:t>n</w:t>
      </w:r>
      <w:r>
        <w:rPr>
          <w:color w:val="000000"/>
        </w:rPr>
        <w:t xml:space="preserve"> vicios ocultos en cualquier aspecto del funcionamiento </w:t>
      </w:r>
      <w:r>
        <w:rPr>
          <w:color w:val="000000"/>
          <w:highlight w:val="white"/>
        </w:rPr>
        <w:t>(hardware o firmware)</w:t>
      </w:r>
      <w:r>
        <w:rPr>
          <w:color w:val="000000"/>
        </w:rPr>
        <w:t xml:space="preserve"> de los equipos</w:t>
      </w:r>
      <w:r w:rsidR="00101B79">
        <w:rPr>
          <w:color w:val="000000"/>
        </w:rPr>
        <w:t>,</w:t>
      </w:r>
      <w:r>
        <w:rPr>
          <w:color w:val="000000"/>
        </w:rPr>
        <w:t xml:space="preserve"> el PROVEEDOR podrá solicitar el Acta de Recepción Técnica Definitiva</w:t>
      </w:r>
      <w:r w:rsidR="0034500E">
        <w:rPr>
          <w:color w:val="000000"/>
        </w:rPr>
        <w:t xml:space="preserve">. En caso de encontrarse </w:t>
      </w:r>
      <w:r>
        <w:rPr>
          <w:color w:val="000000"/>
        </w:rPr>
        <w:t>pendiente</w:t>
      </w:r>
      <w:r w:rsidR="0034500E">
        <w:rPr>
          <w:color w:val="000000"/>
        </w:rPr>
        <w:t>s</w:t>
      </w:r>
      <w:r>
        <w:rPr>
          <w:color w:val="000000"/>
        </w:rPr>
        <w:t xml:space="preserve"> en los aspectos mencionados, estos deben ser subsanados antes de ser emitida el Acta de Recepción Técnica Definitiva. </w:t>
      </w:r>
    </w:p>
    <w:p w:rsidR="001A4A63" w:rsidRDefault="00AE79FC">
      <w:pPr>
        <w:widowControl w:val="0"/>
        <w:pBdr>
          <w:top w:val="nil"/>
          <w:left w:val="nil"/>
          <w:bottom w:val="nil"/>
          <w:right w:val="nil"/>
          <w:between w:val="nil"/>
        </w:pBdr>
        <w:tabs>
          <w:tab w:val="left" w:pos="426"/>
        </w:tabs>
        <w:spacing w:after="240" w:line="276" w:lineRule="auto"/>
        <w:jc w:val="both"/>
        <w:rPr>
          <w:color w:val="000000"/>
        </w:rPr>
      </w:pPr>
      <w:r>
        <w:rPr>
          <w:color w:val="000000"/>
        </w:rPr>
        <w:t>En caso de que el PROVEEDOR, no solicite el Acta de Recepción Técnica Definitiva, LA CONTRATANTE solicitara por única vez, la presentación de la misma en un plazo máximo de 5 (cinco) días hábiles, posteriormente LA CONTRATANTE se reserva el derecho de emitirlo de oficio.</w:t>
      </w:r>
    </w:p>
    <w:p w:rsidR="001A4A63" w:rsidRDefault="00AE79FC">
      <w:pPr>
        <w:widowControl w:val="0"/>
        <w:pBdr>
          <w:top w:val="nil"/>
          <w:left w:val="nil"/>
          <w:bottom w:val="nil"/>
          <w:right w:val="nil"/>
          <w:between w:val="nil"/>
        </w:pBdr>
        <w:tabs>
          <w:tab w:val="left" w:pos="426"/>
        </w:tabs>
        <w:spacing w:after="240" w:line="276" w:lineRule="auto"/>
        <w:jc w:val="both"/>
        <w:rPr>
          <w:b/>
          <w:color w:val="000000"/>
          <w:u w:val="single"/>
        </w:rPr>
      </w:pPr>
      <w:r>
        <w:rPr>
          <w:b/>
          <w:color w:val="000000"/>
          <w:u w:val="single"/>
        </w:rPr>
        <w:t>CLÁUSULA DÉCIMA QUINTA: FORMA DE PAGO.</w:t>
      </w:r>
    </w:p>
    <w:p w:rsidR="001A4A63" w:rsidRDefault="00AE79FC">
      <w:pPr>
        <w:widowControl w:val="0"/>
        <w:pBdr>
          <w:top w:val="nil"/>
          <w:left w:val="nil"/>
          <w:bottom w:val="nil"/>
          <w:right w:val="nil"/>
          <w:between w:val="nil"/>
        </w:pBdr>
        <w:tabs>
          <w:tab w:val="left" w:pos="426"/>
        </w:tabs>
        <w:spacing w:line="276" w:lineRule="auto"/>
        <w:jc w:val="both"/>
        <w:rPr>
          <w:i/>
        </w:rPr>
      </w:pPr>
      <w:r>
        <w:rPr>
          <w:color w:val="000000"/>
        </w:rPr>
        <w:t xml:space="preserve">Este </w:t>
      </w:r>
      <w:r>
        <w:t xml:space="preserve">contrato es de ejecución Presupuestaria anual. A ese efecto se dará cumplimiento a lo establecido en la Ley N° 7021/2022 </w:t>
      </w:r>
      <w:r>
        <w:rPr>
          <w:i/>
        </w:rPr>
        <w:t>“De Suministros y Contrataciones Públicas” y sus reglamentaciones.</w:t>
      </w:r>
    </w:p>
    <w:p w:rsidR="001A4A63" w:rsidRDefault="00AE79FC">
      <w:pPr>
        <w:widowControl w:val="0"/>
        <w:pBdr>
          <w:top w:val="nil"/>
          <w:left w:val="nil"/>
          <w:bottom w:val="nil"/>
          <w:right w:val="nil"/>
          <w:between w:val="nil"/>
        </w:pBdr>
        <w:tabs>
          <w:tab w:val="left" w:pos="426"/>
        </w:tabs>
        <w:spacing w:line="276" w:lineRule="auto"/>
        <w:jc w:val="both"/>
        <w:rPr>
          <w:color w:val="000000"/>
        </w:rPr>
      </w:pPr>
      <w:r>
        <w:rPr>
          <w:color w:val="000000"/>
        </w:rPr>
        <w:t xml:space="preserve">El pago se realizará </w:t>
      </w:r>
      <w:r w:rsidR="00024411">
        <w:rPr>
          <w:color w:val="000000"/>
        </w:rPr>
        <w:t>dentro de los</w:t>
      </w:r>
      <w:r>
        <w:rPr>
          <w:color w:val="000000"/>
        </w:rPr>
        <w:t xml:space="preserve"> 60 (sesenta) días posteriores  a la presentación por part</w:t>
      </w:r>
      <w:r w:rsidR="000C7A7D">
        <w:rPr>
          <w:color w:val="000000"/>
        </w:rPr>
        <w:t>e del PROVEEDOR de la solicitud de pago</w:t>
      </w:r>
    </w:p>
    <w:p w:rsidR="001A4A63" w:rsidRDefault="000C7A7D">
      <w:pPr>
        <w:widowControl w:val="0"/>
        <w:pBdr>
          <w:top w:val="nil"/>
          <w:left w:val="nil"/>
          <w:bottom w:val="nil"/>
          <w:right w:val="nil"/>
          <w:between w:val="nil"/>
        </w:pBdr>
        <w:tabs>
          <w:tab w:val="left" w:pos="426"/>
        </w:tabs>
        <w:spacing w:line="276" w:lineRule="auto"/>
        <w:jc w:val="both"/>
        <w:rPr>
          <w:color w:val="000000"/>
        </w:rPr>
      </w:pPr>
      <w:r>
        <w:rPr>
          <w:rFonts w:asciiTheme="minorHAnsi" w:hAnsiTheme="minorHAnsi" w:cstheme="minorHAnsi"/>
          <w:bCs/>
          <w:lang w:val="es-ES" w:eastAsia="es-ES"/>
        </w:rPr>
        <w:t>L</w:t>
      </w:r>
      <w:r w:rsidRPr="00AE6982">
        <w:rPr>
          <w:rFonts w:asciiTheme="minorHAnsi" w:hAnsiTheme="minorHAnsi" w:cstheme="minorHAnsi"/>
          <w:bCs/>
          <w:lang w:val="es-ES" w:eastAsia="es-ES"/>
        </w:rPr>
        <w:t xml:space="preserve">a solicitud de pago </w:t>
      </w:r>
      <w:r>
        <w:rPr>
          <w:rFonts w:asciiTheme="minorHAnsi" w:hAnsiTheme="minorHAnsi" w:cstheme="minorHAnsi"/>
          <w:bCs/>
          <w:lang w:val="es-ES" w:eastAsia="es-ES"/>
        </w:rPr>
        <w:t xml:space="preserve">deberá ser presentada </w:t>
      </w:r>
      <w:r w:rsidRPr="00AE6982">
        <w:rPr>
          <w:rFonts w:asciiTheme="minorHAnsi" w:hAnsiTheme="minorHAnsi" w:cstheme="minorHAnsi"/>
          <w:bCs/>
          <w:lang w:val="es-ES" w:eastAsia="es-ES"/>
        </w:rPr>
        <w:t>por escrito por parte del PROVEEDOR</w:t>
      </w:r>
      <w:r>
        <w:rPr>
          <w:rFonts w:asciiTheme="minorHAnsi" w:hAnsiTheme="minorHAnsi" w:cstheme="minorHAnsi"/>
          <w:bCs/>
          <w:lang w:val="es-ES" w:eastAsia="es-ES"/>
        </w:rPr>
        <w:t xml:space="preserve"> y</w:t>
      </w:r>
      <w:r w:rsidR="00AE79FC">
        <w:rPr>
          <w:color w:val="000000"/>
        </w:rPr>
        <w:t xml:space="preserve"> deberá estar acompañada de la factura correspondiente conforme los requisitos establecidos en la Ley N° 125/91 y copia del Acta de Recepción Técnica Provisoria, certificado de cumplimiento tributario Constancia de cumplimiento con la seguridad social, Formulario de identificación de Servicios Personales (Fis) en la fecha de la Nota de Remisión, previa verificación y  conformidad  de la CONTRATANTE. </w:t>
      </w:r>
    </w:p>
    <w:p w:rsidR="001A4A63" w:rsidRDefault="00AE79FC">
      <w:r>
        <w:br w:type="page"/>
      </w:r>
    </w:p>
    <w:p w:rsidR="001A4A63" w:rsidRDefault="00AE79FC">
      <w:pPr>
        <w:widowControl w:val="0"/>
        <w:pBdr>
          <w:top w:val="nil"/>
          <w:left w:val="nil"/>
          <w:bottom w:val="nil"/>
          <w:right w:val="nil"/>
          <w:between w:val="nil"/>
        </w:pBdr>
        <w:tabs>
          <w:tab w:val="left" w:pos="426"/>
        </w:tabs>
        <w:spacing w:after="240" w:line="276" w:lineRule="auto"/>
        <w:jc w:val="both"/>
        <w:rPr>
          <w:color w:val="000000"/>
        </w:rPr>
      </w:pPr>
      <w:r>
        <w:rPr>
          <w:color w:val="000000"/>
        </w:rPr>
        <w:lastRenderedPageBreak/>
        <w:t xml:space="preserve">De cada factura presentada se efectuará un descuento del 0,4 % (cero coma cuatro por ciento), en concepto de Contribución sobre Contratos Suscritos, a fin de dar cumplimiento a lo establecido en el Art. 63 de la Ley N° 7021/2022 “ De Suministro y Contrataciones Públicas”. </w:t>
      </w:r>
    </w:p>
    <w:p w:rsidR="001A4A63" w:rsidRDefault="00AE79FC">
      <w:pPr>
        <w:widowControl w:val="0"/>
        <w:pBdr>
          <w:top w:val="nil"/>
          <w:left w:val="nil"/>
          <w:bottom w:val="nil"/>
          <w:right w:val="nil"/>
          <w:between w:val="nil"/>
        </w:pBdr>
        <w:tabs>
          <w:tab w:val="left" w:pos="426"/>
        </w:tabs>
        <w:spacing w:after="240" w:line="276" w:lineRule="auto"/>
        <w:jc w:val="both"/>
        <w:rPr>
          <w:color w:val="000000"/>
        </w:rPr>
      </w:pPr>
      <w:r>
        <w:rPr>
          <w:color w:val="000000"/>
        </w:rPr>
        <w:t>La aceptación de las facturas correspondientes y la autorización de pago por parte de la CONTRATANTE, no implicará por parte de la misma la aceptación definitiva de los valores expresados, ni de los servicios que dichas cantidades refieran.</w:t>
      </w:r>
    </w:p>
    <w:p w:rsidR="001A4A63" w:rsidRDefault="00AE79FC">
      <w:pPr>
        <w:widowControl w:val="0"/>
        <w:pBdr>
          <w:top w:val="nil"/>
          <w:left w:val="nil"/>
          <w:bottom w:val="nil"/>
          <w:right w:val="nil"/>
          <w:between w:val="nil"/>
        </w:pBdr>
        <w:tabs>
          <w:tab w:val="left" w:pos="426"/>
        </w:tabs>
        <w:spacing w:after="0" w:line="276" w:lineRule="auto"/>
        <w:jc w:val="both"/>
        <w:rPr>
          <w:b/>
          <w:color w:val="000000"/>
          <w:u w:val="single"/>
        </w:rPr>
      </w:pPr>
      <w:r>
        <w:rPr>
          <w:b/>
          <w:color w:val="000000"/>
          <w:u w:val="single"/>
        </w:rPr>
        <w:t>CLÁUSULA DÉCIMA SEXTA: GARANTÍA DE CALIDAD E IDONEIDAD.</w:t>
      </w:r>
    </w:p>
    <w:p w:rsidR="001A4A63" w:rsidRPr="004373A5" w:rsidRDefault="00AE79FC">
      <w:pPr>
        <w:widowControl w:val="0"/>
        <w:pBdr>
          <w:top w:val="nil"/>
          <w:left w:val="nil"/>
          <w:bottom w:val="nil"/>
          <w:right w:val="nil"/>
          <w:between w:val="nil"/>
        </w:pBdr>
        <w:tabs>
          <w:tab w:val="left" w:pos="426"/>
        </w:tabs>
        <w:spacing w:after="240" w:line="276" w:lineRule="auto"/>
        <w:jc w:val="both"/>
        <w:rPr>
          <w:rFonts w:asciiTheme="minorHAnsi" w:hAnsiTheme="minorHAnsi" w:cstheme="minorHAnsi"/>
          <w:color w:val="000000"/>
        </w:rPr>
      </w:pPr>
      <w:r>
        <w:rPr>
          <w:color w:val="000000"/>
        </w:rPr>
        <w:t xml:space="preserve">EL PROVEEDOR garantiza que los suministros responden a la calidad e idoneidad de los mismos, conforme a las Especificaciones Técnicas y están a su cargo exclusivo y son de su cuenta todos los gastos que demande la devolución de los mismos cuando fuese rechazado por la CONTRATANTE, debiendo el PROVEEDOR corregir a completa satisfacción de la CONTRATANTE, dentro del </w:t>
      </w:r>
      <w:r w:rsidRPr="004373A5">
        <w:rPr>
          <w:b/>
          <w:color w:val="000000"/>
        </w:rPr>
        <w:t xml:space="preserve">plazo máximo de 7 (siete) días corridos </w:t>
      </w:r>
      <w:r w:rsidR="004373A5" w:rsidRPr="004373A5">
        <w:rPr>
          <w:rFonts w:asciiTheme="minorHAnsi" w:eastAsia="Arial" w:hAnsiTheme="minorHAnsi" w:cstheme="minorHAnsi"/>
          <w:b/>
          <w:bCs/>
        </w:rPr>
        <w:t>partir de la recepción, por parte del Proveedor, de la solicitud realizada por COPACO S.A.</w:t>
      </w:r>
    </w:p>
    <w:p w:rsidR="001A4A63" w:rsidRDefault="00AE79FC">
      <w:pPr>
        <w:pBdr>
          <w:top w:val="nil"/>
          <w:left w:val="nil"/>
          <w:bottom w:val="nil"/>
          <w:right w:val="nil"/>
          <w:between w:val="nil"/>
        </w:pBdr>
        <w:jc w:val="both"/>
      </w:pPr>
      <w:r>
        <w:t>El proveedor garantiza que todos los bienes suministrados están libres de defectos derivados de actos y omisiones que éste hubiera incurrido, o derivados del diseño, materiales o manufactura, durante el uso normal de los bienes en las condiciones que imperen en la República del Paraguay.</w:t>
      </w:r>
    </w:p>
    <w:p w:rsidR="001A4A63" w:rsidRDefault="00AE79FC">
      <w:pPr>
        <w:widowControl w:val="0"/>
        <w:pBdr>
          <w:top w:val="nil"/>
          <w:left w:val="nil"/>
          <w:bottom w:val="nil"/>
          <w:right w:val="nil"/>
          <w:between w:val="nil"/>
        </w:pBdr>
        <w:tabs>
          <w:tab w:val="left" w:pos="426"/>
        </w:tabs>
        <w:spacing w:after="0" w:line="276" w:lineRule="auto"/>
        <w:jc w:val="both"/>
        <w:rPr>
          <w:b/>
          <w:color w:val="000000"/>
          <w:u w:val="single"/>
        </w:rPr>
      </w:pPr>
      <w:r>
        <w:rPr>
          <w:b/>
          <w:color w:val="000000"/>
          <w:u w:val="single"/>
        </w:rPr>
        <w:t>CLÁUSULA DÉCIMA SEPTIMA: RESPONSABILIDAD DEL PROVEEDOR.</w:t>
      </w:r>
    </w:p>
    <w:p w:rsidR="001A4A63" w:rsidRDefault="00AE79FC">
      <w:pPr>
        <w:widowControl w:val="0"/>
        <w:pBdr>
          <w:top w:val="nil"/>
          <w:left w:val="nil"/>
          <w:bottom w:val="nil"/>
          <w:right w:val="nil"/>
          <w:between w:val="nil"/>
        </w:pBdr>
        <w:tabs>
          <w:tab w:val="left" w:pos="426"/>
        </w:tabs>
        <w:spacing w:after="240" w:line="276" w:lineRule="auto"/>
        <w:jc w:val="both"/>
        <w:rPr>
          <w:color w:val="000000"/>
        </w:rPr>
      </w:pPr>
      <w:r>
        <w:rPr>
          <w:color w:val="000000"/>
        </w:rPr>
        <w:t>El PROVEEDOR confirma que se halla plenamente informado de todo cuanto se relaciona con la naturaleza y las características generales del suministro licitado y todo cuanto pueda influir sobre su fabricación, provisión y costo, comprometiéndose sin protesto alguno a cumplir con el compromiso asumido en virtud de este Contrato.</w:t>
      </w:r>
    </w:p>
    <w:p w:rsidR="001A4A63" w:rsidRDefault="00AE79FC">
      <w:pPr>
        <w:widowControl w:val="0"/>
        <w:pBdr>
          <w:top w:val="nil"/>
          <w:left w:val="nil"/>
          <w:bottom w:val="nil"/>
          <w:right w:val="nil"/>
          <w:between w:val="nil"/>
        </w:pBdr>
        <w:tabs>
          <w:tab w:val="left" w:pos="426"/>
        </w:tabs>
        <w:spacing w:after="0" w:line="276" w:lineRule="auto"/>
        <w:jc w:val="both"/>
        <w:rPr>
          <w:b/>
          <w:color w:val="000000"/>
          <w:u w:val="single"/>
        </w:rPr>
      </w:pPr>
      <w:r>
        <w:rPr>
          <w:b/>
          <w:color w:val="000000"/>
          <w:u w:val="single"/>
        </w:rPr>
        <w:t>CLÁUSULA DÉCIMA OCTAVA: PRÓRROGA DEL PLAZO CONTRACTUAL.</w:t>
      </w:r>
    </w:p>
    <w:p w:rsidR="001A4A63" w:rsidRDefault="00AE79FC">
      <w:pPr>
        <w:widowControl w:val="0"/>
        <w:pBdr>
          <w:top w:val="nil"/>
          <w:left w:val="nil"/>
          <w:bottom w:val="nil"/>
          <w:right w:val="nil"/>
          <w:between w:val="nil"/>
        </w:pBdr>
        <w:tabs>
          <w:tab w:val="left" w:pos="426"/>
        </w:tabs>
        <w:spacing w:after="0" w:line="276" w:lineRule="auto"/>
        <w:jc w:val="both"/>
        <w:rPr>
          <w:color w:val="000000"/>
        </w:rPr>
      </w:pPr>
      <w:r>
        <w:rPr>
          <w:color w:val="000000"/>
        </w:rPr>
        <w:t>Las fechas fijadas por los plazos que se indican el P.B.C. del Contrato, podrán ser prorrogadas por la CONTRATANTE, a solicitud del PROVEEDOR, en los siguientes casos:</w:t>
      </w:r>
    </w:p>
    <w:p w:rsidR="001A4A63" w:rsidRDefault="00AE79FC">
      <w:pPr>
        <w:widowControl w:val="0"/>
        <w:numPr>
          <w:ilvl w:val="0"/>
          <w:numId w:val="2"/>
        </w:numPr>
        <w:pBdr>
          <w:top w:val="nil"/>
          <w:left w:val="nil"/>
          <w:bottom w:val="nil"/>
          <w:right w:val="nil"/>
          <w:between w:val="nil"/>
        </w:pBdr>
        <w:tabs>
          <w:tab w:val="left" w:pos="426"/>
        </w:tabs>
        <w:spacing w:after="0" w:line="276" w:lineRule="auto"/>
        <w:jc w:val="both"/>
        <w:rPr>
          <w:color w:val="000000"/>
        </w:rPr>
      </w:pPr>
      <w:r>
        <w:rPr>
          <w:color w:val="000000"/>
        </w:rPr>
        <w:t>Por causas de Fuerza Mayor.</w:t>
      </w:r>
    </w:p>
    <w:p w:rsidR="001A4A63" w:rsidRDefault="00AE79FC">
      <w:pPr>
        <w:widowControl w:val="0"/>
        <w:numPr>
          <w:ilvl w:val="0"/>
          <w:numId w:val="2"/>
        </w:numPr>
        <w:pBdr>
          <w:top w:val="nil"/>
          <w:left w:val="nil"/>
          <w:bottom w:val="nil"/>
          <w:right w:val="nil"/>
          <w:between w:val="nil"/>
        </w:pBdr>
        <w:tabs>
          <w:tab w:val="left" w:pos="426"/>
        </w:tabs>
        <w:spacing w:after="0" w:line="276" w:lineRule="auto"/>
        <w:jc w:val="both"/>
        <w:rPr>
          <w:color w:val="000000"/>
        </w:rPr>
      </w:pPr>
      <w:r>
        <w:rPr>
          <w:color w:val="000000"/>
        </w:rPr>
        <w:t>Por otras causas que tengan efectiva influencia en la ejecución del Contrato.</w:t>
      </w:r>
    </w:p>
    <w:p w:rsidR="001A4A63" w:rsidRDefault="00AE79FC">
      <w:pPr>
        <w:spacing w:after="0" w:line="240" w:lineRule="auto"/>
        <w:jc w:val="both"/>
        <w:rPr>
          <w:color w:val="000000"/>
        </w:rPr>
      </w:pPr>
      <w:r>
        <w:rPr>
          <w:color w:val="000000"/>
        </w:rPr>
        <w:t>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w:t>
      </w:r>
    </w:p>
    <w:p w:rsidR="001A4A63" w:rsidRDefault="00AE79FC">
      <w:pPr>
        <w:widowControl w:val="0"/>
        <w:numPr>
          <w:ilvl w:val="0"/>
          <w:numId w:val="3"/>
        </w:numPr>
        <w:pBdr>
          <w:top w:val="nil"/>
          <w:left w:val="nil"/>
          <w:bottom w:val="nil"/>
          <w:right w:val="nil"/>
          <w:between w:val="nil"/>
        </w:pBdr>
        <w:spacing w:after="0" w:line="240" w:lineRule="auto"/>
        <w:jc w:val="both"/>
        <w:rPr>
          <w:color w:val="000000"/>
        </w:rPr>
      </w:pPr>
      <w:r>
        <w:rPr>
          <w:color w:val="000000"/>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rsidR="001A4A63" w:rsidRDefault="00AE79FC">
      <w:pPr>
        <w:widowControl w:val="0"/>
        <w:numPr>
          <w:ilvl w:val="0"/>
          <w:numId w:val="3"/>
        </w:numPr>
        <w:pBdr>
          <w:top w:val="nil"/>
          <w:left w:val="nil"/>
          <w:bottom w:val="nil"/>
          <w:right w:val="nil"/>
          <w:between w:val="nil"/>
        </w:pBdr>
        <w:spacing w:after="0" w:line="240" w:lineRule="auto"/>
        <w:jc w:val="both"/>
        <w:rPr>
          <w:color w:val="000000"/>
        </w:rPr>
      </w:pPr>
      <w:r>
        <w:rPr>
          <w:color w:val="000000"/>
        </w:rPr>
        <w:t>El proveedor deberá demostrar el nexo existente entre el caso notorio y la obligación pendiente de cumplimiento. La fuerza mayor solamente podrá afectar a la parte del contrato cuyo cumplimiento imposible fue probado.-</w:t>
      </w:r>
    </w:p>
    <w:p w:rsidR="001A4A63" w:rsidRDefault="00AE79FC">
      <w:pPr>
        <w:widowControl w:val="0"/>
        <w:numPr>
          <w:ilvl w:val="0"/>
          <w:numId w:val="3"/>
        </w:numPr>
        <w:pBdr>
          <w:top w:val="nil"/>
          <w:left w:val="nil"/>
          <w:bottom w:val="nil"/>
          <w:right w:val="nil"/>
          <w:between w:val="nil"/>
        </w:pBdr>
        <w:spacing w:after="0" w:line="240" w:lineRule="auto"/>
        <w:jc w:val="both"/>
        <w:rPr>
          <w:color w:val="000000"/>
        </w:rPr>
      </w:pPr>
      <w:r>
        <w:rPr>
          <w:color w:val="000000"/>
        </w:rPr>
        <w:t>No se considerarán casos de Fuerza Mayor los actos o acontecimientos que hagan el cumplimiento de una obligación únicamente más difícil o más onerosa para la parte correspondiente.-</w:t>
      </w:r>
    </w:p>
    <w:p w:rsidR="001A4A63" w:rsidRDefault="00AE79FC">
      <w:pPr>
        <w:widowControl w:val="0"/>
        <w:numPr>
          <w:ilvl w:val="0"/>
          <w:numId w:val="3"/>
        </w:numPr>
        <w:pBdr>
          <w:top w:val="nil"/>
          <w:left w:val="nil"/>
          <w:bottom w:val="nil"/>
          <w:right w:val="nil"/>
          <w:between w:val="nil"/>
        </w:pBdr>
        <w:spacing w:after="0" w:line="240" w:lineRule="auto"/>
        <w:jc w:val="both"/>
        <w:rPr>
          <w:color w:val="000000"/>
        </w:rPr>
      </w:pPr>
      <w:r>
        <w:rPr>
          <w:color w:val="000000"/>
        </w:rPr>
        <w:t xml:space="preserve">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w:t>
      </w:r>
      <w:r>
        <w:rPr>
          <w:color w:val="000000"/>
        </w:rPr>
        <w:lastRenderedPageBreak/>
        <w:t>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rsidR="001A4A63" w:rsidRDefault="00AE79FC">
      <w:pPr>
        <w:widowControl w:val="0"/>
        <w:numPr>
          <w:ilvl w:val="0"/>
          <w:numId w:val="3"/>
        </w:numPr>
        <w:pBdr>
          <w:top w:val="nil"/>
          <w:left w:val="nil"/>
          <w:bottom w:val="nil"/>
          <w:right w:val="nil"/>
          <w:between w:val="nil"/>
        </w:pBdr>
        <w:spacing w:after="0" w:line="240" w:lineRule="auto"/>
        <w:jc w:val="both"/>
        <w:rPr>
          <w:color w:val="000000"/>
        </w:rPr>
      </w:pPr>
      <w:r>
        <w:rPr>
          <w:color w:val="000000"/>
        </w:rPr>
        <w:t>La fuerza mayor debe ser invocada con posterioridad a la suscripción del contrato y con anterioridad al vencimiento del plazo de cumplimiento de las obligaciones contractuales.-</w:t>
      </w:r>
    </w:p>
    <w:p w:rsidR="001A4A63" w:rsidRDefault="00AE79FC">
      <w:pPr>
        <w:widowControl w:val="0"/>
        <w:numPr>
          <w:ilvl w:val="0"/>
          <w:numId w:val="3"/>
        </w:numPr>
        <w:pBdr>
          <w:top w:val="nil"/>
          <w:left w:val="nil"/>
          <w:bottom w:val="nil"/>
          <w:right w:val="nil"/>
          <w:between w:val="nil"/>
        </w:pBdr>
        <w:spacing w:after="0" w:line="240" w:lineRule="auto"/>
        <w:jc w:val="both"/>
        <w:rPr>
          <w:color w:val="000000"/>
        </w:rPr>
      </w:pPr>
      <w:r>
        <w:rPr>
          <w:color w:val="000000"/>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p w:rsidR="001A4A63" w:rsidRDefault="00AE79FC">
      <w:pPr>
        <w:spacing w:line="240" w:lineRule="auto"/>
        <w:jc w:val="both"/>
        <w:rPr>
          <w:color w:val="000000"/>
        </w:rPr>
      </w:pPr>
      <w:r>
        <w:rPr>
          <w:color w:val="000000"/>
        </w:rPr>
        <w:t xml:space="preserve">Las solicitudes de prórrogas podrán presentarse dentro del plazo establecido en el Plan de Entrega de los  Suministros Requeridos - Especificaciones Técnicas del Pliego de Bases y Condiciones.- </w:t>
      </w:r>
    </w:p>
    <w:p w:rsidR="001A4A63" w:rsidRDefault="00AE79FC">
      <w:pPr>
        <w:widowControl w:val="0"/>
        <w:pBdr>
          <w:top w:val="nil"/>
          <w:left w:val="nil"/>
          <w:bottom w:val="nil"/>
          <w:right w:val="nil"/>
          <w:between w:val="nil"/>
        </w:pBdr>
        <w:tabs>
          <w:tab w:val="left" w:pos="426"/>
        </w:tabs>
        <w:spacing w:after="0" w:line="276" w:lineRule="auto"/>
        <w:jc w:val="both"/>
        <w:rPr>
          <w:b/>
          <w:color w:val="000000"/>
          <w:u w:val="single"/>
        </w:rPr>
      </w:pPr>
      <w:r>
        <w:rPr>
          <w:b/>
          <w:color w:val="000000"/>
          <w:u w:val="single"/>
        </w:rPr>
        <w:t>CLÁUSULA DÉCIMA NOVENA: ANULACIÓN DE LA ADJUDICACIÓN.</w:t>
      </w:r>
    </w:p>
    <w:p w:rsidR="001A4A63" w:rsidRDefault="00AE79FC">
      <w:pPr>
        <w:jc w:val="both"/>
      </w:pPr>
      <w: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1A4A63" w:rsidRDefault="00AE79FC">
      <w:pPr>
        <w:widowControl w:val="0"/>
        <w:pBdr>
          <w:top w:val="nil"/>
          <w:left w:val="nil"/>
          <w:bottom w:val="nil"/>
          <w:right w:val="nil"/>
          <w:between w:val="nil"/>
        </w:pBdr>
        <w:tabs>
          <w:tab w:val="left" w:pos="426"/>
        </w:tabs>
        <w:spacing w:after="0" w:line="276" w:lineRule="auto"/>
        <w:jc w:val="both"/>
        <w:rPr>
          <w:b/>
          <w:color w:val="000000"/>
          <w:u w:val="single"/>
        </w:rPr>
      </w:pPr>
      <w:r>
        <w:rPr>
          <w:b/>
          <w:color w:val="000000"/>
          <w:u w:val="single"/>
        </w:rPr>
        <w:t>CLÁUSULA  VIGÉSIMA: IDIOMA DEL CONTRATO.</w:t>
      </w:r>
    </w:p>
    <w:p w:rsidR="001A4A63" w:rsidRDefault="00AE79FC">
      <w:pPr>
        <w:tabs>
          <w:tab w:val="left" w:pos="708"/>
          <w:tab w:val="left" w:pos="1843"/>
        </w:tabs>
        <w:jc w:val="both"/>
      </w:pPr>
      <w: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1A4A63" w:rsidRDefault="00AE79FC">
      <w:pPr>
        <w:tabs>
          <w:tab w:val="left" w:pos="708"/>
          <w:tab w:val="left" w:pos="1843"/>
        </w:tabs>
        <w:jc w:val="both"/>
      </w:pPr>
      <w:r>
        <w:t>El proveedor correrá con todos los costos relativos a las traducciones, así como todos los riesgos derivados de la exactitud de dicha traducción.</w:t>
      </w:r>
    </w:p>
    <w:p w:rsidR="001A4A63" w:rsidRDefault="00AE79FC">
      <w:pPr>
        <w:widowControl w:val="0"/>
        <w:pBdr>
          <w:top w:val="nil"/>
          <w:left w:val="nil"/>
          <w:bottom w:val="nil"/>
          <w:right w:val="nil"/>
          <w:between w:val="nil"/>
        </w:pBdr>
        <w:tabs>
          <w:tab w:val="left" w:pos="426"/>
        </w:tabs>
        <w:spacing w:after="0" w:line="276" w:lineRule="auto"/>
        <w:jc w:val="both"/>
        <w:rPr>
          <w:b/>
          <w:color w:val="000000"/>
          <w:u w:val="single"/>
        </w:rPr>
      </w:pPr>
      <w:r>
        <w:rPr>
          <w:b/>
          <w:color w:val="000000"/>
          <w:u w:val="single"/>
        </w:rPr>
        <w:t>CLÁUSULA VIGÉSIMA PRIMERA: SUSCRIPCIÓN.</w:t>
      </w:r>
    </w:p>
    <w:p w:rsidR="001A4A63" w:rsidRDefault="00AE79FC">
      <w:pPr>
        <w:tabs>
          <w:tab w:val="left" w:pos="708"/>
          <w:tab w:val="left" w:pos="1843"/>
        </w:tabs>
        <w:spacing w:after="0"/>
        <w:jc w:val="both"/>
      </w:pPr>
      <w:r>
        <w:t xml:space="preserve">EN TESTIMONIO de conformidad se suscriben 3 (tres) ejemplares de un mismo tenor y a un solo efecto en la ciudad de Asunción - República del Paraguay </w:t>
      </w:r>
      <w:r w:rsidR="007E7CDC">
        <w:t>a los ______ días del mes de _______ del año dos mil veintiséis.</w:t>
      </w:r>
    </w:p>
    <w:p w:rsidR="001A4A63" w:rsidRDefault="001A4A63">
      <w:pPr>
        <w:tabs>
          <w:tab w:val="left" w:pos="7200"/>
        </w:tabs>
        <w:spacing w:after="0"/>
        <w:jc w:val="both"/>
      </w:pPr>
    </w:p>
    <w:p w:rsidR="001A4A63" w:rsidRDefault="00AE79FC">
      <w:pPr>
        <w:tabs>
          <w:tab w:val="left" w:pos="708"/>
          <w:tab w:val="left" w:pos="1843"/>
        </w:tabs>
        <w:jc w:val="both"/>
      </w:pPr>
      <w:r>
        <w:tab/>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7"/>
        <w:gridCol w:w="4747"/>
      </w:tblGrid>
      <w:tr w:rsidR="002D5F11" w:rsidTr="00AF2CF3">
        <w:tc>
          <w:tcPr>
            <w:tcW w:w="4747" w:type="dxa"/>
          </w:tcPr>
          <w:p w:rsidR="002D5F11" w:rsidRDefault="002D5F11" w:rsidP="00AF2CF3">
            <w:pPr>
              <w:numPr>
                <w:ilvl w:val="12"/>
                <w:numId w:val="0"/>
              </w:numPr>
              <w:tabs>
                <w:tab w:val="left" w:pos="708"/>
                <w:tab w:val="left" w:pos="1843"/>
              </w:tabs>
              <w:suppressAutoHyphens/>
              <w:jc w:val="center"/>
              <w:rPr>
                <w:rFonts w:eastAsia="Times New Roman" w:cstheme="minorHAnsi"/>
              </w:rPr>
            </w:pPr>
            <w:r>
              <w:rPr>
                <w:rFonts w:eastAsia="Times New Roman" w:cstheme="minorHAnsi"/>
                <w:b/>
              </w:rPr>
              <w:t>___________________________</w:t>
            </w:r>
          </w:p>
        </w:tc>
        <w:tc>
          <w:tcPr>
            <w:tcW w:w="4747" w:type="dxa"/>
          </w:tcPr>
          <w:p w:rsidR="002D5F11" w:rsidRDefault="002D5F11" w:rsidP="00AF2CF3">
            <w:pPr>
              <w:numPr>
                <w:ilvl w:val="12"/>
                <w:numId w:val="0"/>
              </w:numPr>
              <w:tabs>
                <w:tab w:val="left" w:pos="708"/>
                <w:tab w:val="left" w:pos="1843"/>
              </w:tabs>
              <w:suppressAutoHyphens/>
              <w:jc w:val="center"/>
              <w:rPr>
                <w:rFonts w:eastAsia="Times New Roman" w:cstheme="minorHAnsi"/>
              </w:rPr>
            </w:pPr>
            <w:r w:rsidRPr="00D1614B">
              <w:rPr>
                <w:rFonts w:eastAsia="Times New Roman" w:cstheme="minorHAnsi"/>
                <w:b/>
              </w:rPr>
              <w:t>S</w:t>
            </w:r>
            <w:r>
              <w:rPr>
                <w:rFonts w:eastAsia="Times New Roman" w:cstheme="minorHAnsi"/>
                <w:b/>
              </w:rPr>
              <w:t>RA</w:t>
            </w:r>
            <w:r w:rsidRPr="00D1614B">
              <w:rPr>
                <w:rFonts w:eastAsia="Times New Roman" w:cstheme="minorHAnsi"/>
                <w:b/>
              </w:rPr>
              <w:t>.</w:t>
            </w:r>
            <w:r w:rsidRPr="004556C1">
              <w:rPr>
                <w:rFonts w:eastAsia="Times New Roman" w:cstheme="minorHAnsi"/>
                <w:b/>
                <w:lang w:eastAsia="es-ES"/>
              </w:rPr>
              <w:t>NATALIA MONSERRAT BORGOGNON CALO</w:t>
            </w:r>
          </w:p>
        </w:tc>
      </w:tr>
      <w:tr w:rsidR="002D5F11" w:rsidTr="00AF2CF3">
        <w:tc>
          <w:tcPr>
            <w:tcW w:w="4747" w:type="dxa"/>
          </w:tcPr>
          <w:p w:rsidR="002D5F11" w:rsidRDefault="002D5F11" w:rsidP="00AF2CF3">
            <w:pPr>
              <w:numPr>
                <w:ilvl w:val="12"/>
                <w:numId w:val="0"/>
              </w:numPr>
              <w:tabs>
                <w:tab w:val="left" w:pos="708"/>
                <w:tab w:val="left" w:pos="1843"/>
              </w:tabs>
              <w:suppressAutoHyphens/>
              <w:jc w:val="center"/>
              <w:rPr>
                <w:rFonts w:eastAsia="Times New Roman" w:cstheme="minorHAnsi"/>
              </w:rPr>
            </w:pPr>
            <w:r>
              <w:rPr>
                <w:rFonts w:eastAsia="Times New Roman" w:cstheme="minorHAnsi"/>
                <w:b/>
              </w:rPr>
              <w:t>Representante Legal</w:t>
            </w:r>
          </w:p>
        </w:tc>
        <w:tc>
          <w:tcPr>
            <w:tcW w:w="4747" w:type="dxa"/>
          </w:tcPr>
          <w:p w:rsidR="002D5F11" w:rsidRDefault="002D5F11" w:rsidP="00AF2CF3">
            <w:pPr>
              <w:numPr>
                <w:ilvl w:val="12"/>
                <w:numId w:val="0"/>
              </w:numPr>
              <w:tabs>
                <w:tab w:val="left" w:pos="708"/>
                <w:tab w:val="left" w:pos="1843"/>
              </w:tabs>
              <w:suppressAutoHyphens/>
              <w:jc w:val="center"/>
              <w:rPr>
                <w:rFonts w:eastAsia="Times New Roman" w:cstheme="minorHAnsi"/>
              </w:rPr>
            </w:pPr>
            <w:r>
              <w:rPr>
                <w:rFonts w:eastAsia="Times New Roman" w:cstheme="minorHAnsi"/>
                <w:b/>
              </w:rPr>
              <w:t xml:space="preserve">Presidenta Interina </w:t>
            </w:r>
            <w:r w:rsidRPr="00623CE4">
              <w:rPr>
                <w:rFonts w:eastAsia="Times New Roman" w:cstheme="minorHAnsi"/>
                <w:b/>
              </w:rPr>
              <w:t>del Directorio</w:t>
            </w:r>
          </w:p>
        </w:tc>
      </w:tr>
      <w:tr w:rsidR="002D5F11" w:rsidTr="00AF2CF3">
        <w:tc>
          <w:tcPr>
            <w:tcW w:w="4747" w:type="dxa"/>
          </w:tcPr>
          <w:p w:rsidR="002D5F11" w:rsidRDefault="002D5F11" w:rsidP="002D5F11">
            <w:pPr>
              <w:numPr>
                <w:ilvl w:val="12"/>
                <w:numId w:val="0"/>
              </w:numPr>
              <w:tabs>
                <w:tab w:val="left" w:pos="708"/>
                <w:tab w:val="left" w:pos="1843"/>
              </w:tabs>
              <w:suppressAutoHyphens/>
              <w:jc w:val="center"/>
              <w:rPr>
                <w:rFonts w:eastAsia="Times New Roman" w:cstheme="minorHAnsi"/>
              </w:rPr>
            </w:pPr>
            <w:r>
              <w:rPr>
                <w:rFonts w:eastAsia="Times New Roman" w:cstheme="minorHAnsi"/>
                <w:b/>
              </w:rPr>
              <w:t xml:space="preserve">  El PROVEEDOR</w:t>
            </w:r>
          </w:p>
        </w:tc>
        <w:tc>
          <w:tcPr>
            <w:tcW w:w="4747" w:type="dxa"/>
          </w:tcPr>
          <w:p w:rsidR="002D5F11" w:rsidRDefault="002D5F11" w:rsidP="00AF2CF3">
            <w:pPr>
              <w:numPr>
                <w:ilvl w:val="12"/>
                <w:numId w:val="0"/>
              </w:numPr>
              <w:tabs>
                <w:tab w:val="left" w:pos="708"/>
                <w:tab w:val="left" w:pos="1843"/>
              </w:tabs>
              <w:suppressAutoHyphens/>
              <w:jc w:val="center"/>
              <w:rPr>
                <w:rFonts w:eastAsia="Times New Roman" w:cstheme="minorHAnsi"/>
              </w:rPr>
            </w:pPr>
            <w:r w:rsidRPr="00623CE4">
              <w:rPr>
                <w:rFonts w:eastAsia="Times New Roman" w:cstheme="minorHAnsi"/>
                <w:b/>
              </w:rPr>
              <w:t>COPACO S.A.</w:t>
            </w:r>
          </w:p>
        </w:tc>
      </w:tr>
    </w:tbl>
    <w:p w:rsidR="001A4A63" w:rsidRDefault="001A4A63"/>
    <w:sectPr w:rsidR="001A4A63" w:rsidSect="00593ADC">
      <w:headerReference w:type="even" r:id="rId8"/>
      <w:headerReference w:type="default" r:id="rId9"/>
      <w:footerReference w:type="even" r:id="rId10"/>
      <w:footerReference w:type="default" r:id="rId11"/>
      <w:headerReference w:type="first" r:id="rId12"/>
      <w:footerReference w:type="first" r:id="rId13"/>
      <w:pgSz w:w="11906" w:h="16838"/>
      <w:pgMar w:top="1985" w:right="1134" w:bottom="567" w:left="1418" w:header="510" w:footer="709"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82A" w:rsidRDefault="00E4182A">
      <w:pPr>
        <w:spacing w:after="0" w:line="240" w:lineRule="auto"/>
      </w:pPr>
      <w:r>
        <w:separator/>
      </w:r>
    </w:p>
  </w:endnote>
  <w:endnote w:type="continuationSeparator" w:id="1">
    <w:p w:rsidR="00E4182A" w:rsidRDefault="00E418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63" w:rsidRDefault="001A4A63">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63" w:rsidRDefault="00AE79FC">
    <w:pPr>
      <w:pBdr>
        <w:top w:val="nil"/>
        <w:left w:val="nil"/>
        <w:bottom w:val="single" w:sz="12" w:space="1" w:color="000000"/>
        <w:right w:val="nil"/>
        <w:between w:val="nil"/>
      </w:pBdr>
      <w:tabs>
        <w:tab w:val="center" w:pos="4419"/>
        <w:tab w:val="right" w:pos="8838"/>
      </w:tabs>
      <w:spacing w:after="0" w:line="240" w:lineRule="auto"/>
      <w:rPr>
        <w:b/>
        <w:color w:val="000000"/>
        <w:sz w:val="24"/>
        <w:szCs w:val="24"/>
      </w:rPr>
    </w:pPr>
    <w:r>
      <w:rPr>
        <w:color w:val="000000"/>
      </w:rPr>
      <w:t xml:space="preserve">Página </w:t>
    </w:r>
    <w:r w:rsidR="00593ADC">
      <w:rPr>
        <w:b/>
        <w:color w:val="000000"/>
        <w:sz w:val="24"/>
        <w:szCs w:val="24"/>
      </w:rPr>
      <w:fldChar w:fldCharType="begin"/>
    </w:r>
    <w:r>
      <w:rPr>
        <w:b/>
        <w:color w:val="000000"/>
        <w:sz w:val="24"/>
        <w:szCs w:val="24"/>
      </w:rPr>
      <w:instrText>PAGE</w:instrText>
    </w:r>
    <w:r w:rsidR="00593ADC">
      <w:rPr>
        <w:b/>
        <w:color w:val="000000"/>
        <w:sz w:val="24"/>
        <w:szCs w:val="24"/>
      </w:rPr>
      <w:fldChar w:fldCharType="separate"/>
    </w:r>
    <w:r w:rsidR="00BC27BE">
      <w:rPr>
        <w:b/>
        <w:noProof/>
        <w:color w:val="000000"/>
        <w:sz w:val="24"/>
        <w:szCs w:val="24"/>
      </w:rPr>
      <w:t>7</w:t>
    </w:r>
    <w:r w:rsidR="00593ADC">
      <w:rPr>
        <w:b/>
        <w:color w:val="000000"/>
        <w:sz w:val="24"/>
        <w:szCs w:val="24"/>
      </w:rPr>
      <w:fldChar w:fldCharType="end"/>
    </w:r>
    <w:r>
      <w:rPr>
        <w:color w:val="000000"/>
      </w:rPr>
      <w:t xml:space="preserve"> de 7</w:t>
    </w:r>
  </w:p>
  <w:p w:rsidR="001A4A63" w:rsidRDefault="001A4A63">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63" w:rsidRDefault="001A4A63">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82A" w:rsidRDefault="00E4182A">
      <w:pPr>
        <w:spacing w:after="0" w:line="240" w:lineRule="auto"/>
      </w:pPr>
      <w:r>
        <w:separator/>
      </w:r>
    </w:p>
  </w:footnote>
  <w:footnote w:type="continuationSeparator" w:id="1">
    <w:p w:rsidR="00E4182A" w:rsidRDefault="00E418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63" w:rsidRDefault="001A4A63">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63" w:rsidRDefault="00AE79FC">
    <w:pPr>
      <w:pBdr>
        <w:top w:val="nil"/>
        <w:left w:val="nil"/>
        <w:bottom w:val="nil"/>
        <w:right w:val="nil"/>
        <w:between w:val="nil"/>
      </w:pBdr>
      <w:tabs>
        <w:tab w:val="center" w:pos="4419"/>
        <w:tab w:val="right" w:pos="8838"/>
      </w:tabs>
      <w:spacing w:after="0" w:line="240" w:lineRule="auto"/>
      <w:rPr>
        <w:color w:val="000000"/>
      </w:rPr>
    </w:pPr>
    <w:r>
      <w:rPr>
        <w:noProof/>
        <w:lang w:val="es-PY"/>
      </w:rPr>
      <w:drawing>
        <wp:anchor distT="0" distB="0" distL="114300" distR="114300" simplePos="0" relativeHeight="251658240" behindDoc="0" locked="0" layoutInCell="1" allowOverlap="1">
          <wp:simplePos x="0" y="0"/>
          <wp:positionH relativeFrom="column">
            <wp:posOffset>-807084</wp:posOffset>
          </wp:positionH>
          <wp:positionV relativeFrom="paragraph">
            <wp:posOffset>-303529</wp:posOffset>
          </wp:positionV>
          <wp:extent cx="7003371" cy="1226342"/>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003371" cy="1226342"/>
                  </a:xfrm>
                  <a:prstGeom prst="rect">
                    <a:avLst/>
                  </a:prstGeom>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63" w:rsidRDefault="001A4A63">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93A74"/>
    <w:multiLevelType w:val="multilevel"/>
    <w:tmpl w:val="8DEC0F50"/>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56D420A"/>
    <w:multiLevelType w:val="multilevel"/>
    <w:tmpl w:val="787ED6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77CC206C"/>
    <w:multiLevelType w:val="multilevel"/>
    <w:tmpl w:val="2728AB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425"/>
  <w:characterSpacingControl w:val="doNotCompress"/>
  <w:footnotePr>
    <w:footnote w:id="0"/>
    <w:footnote w:id="1"/>
  </w:footnotePr>
  <w:endnotePr>
    <w:endnote w:id="0"/>
    <w:endnote w:id="1"/>
  </w:endnotePr>
  <w:compat/>
  <w:rsids>
    <w:rsidRoot w:val="001A4A63"/>
    <w:rsid w:val="00024411"/>
    <w:rsid w:val="000C7A7D"/>
    <w:rsid w:val="00101B79"/>
    <w:rsid w:val="001963DC"/>
    <w:rsid w:val="00196834"/>
    <w:rsid w:val="001A4A63"/>
    <w:rsid w:val="00200375"/>
    <w:rsid w:val="002D5F11"/>
    <w:rsid w:val="002E7946"/>
    <w:rsid w:val="0034500E"/>
    <w:rsid w:val="003C2EB3"/>
    <w:rsid w:val="00433770"/>
    <w:rsid w:val="004373A5"/>
    <w:rsid w:val="0047674C"/>
    <w:rsid w:val="00505F14"/>
    <w:rsid w:val="00593ADC"/>
    <w:rsid w:val="006A1714"/>
    <w:rsid w:val="007E7CDC"/>
    <w:rsid w:val="008C0D41"/>
    <w:rsid w:val="008D718F"/>
    <w:rsid w:val="00923F86"/>
    <w:rsid w:val="00973C99"/>
    <w:rsid w:val="009A63D4"/>
    <w:rsid w:val="009B38AB"/>
    <w:rsid w:val="00A97062"/>
    <w:rsid w:val="00AE79FC"/>
    <w:rsid w:val="00BC27BE"/>
    <w:rsid w:val="00C04B9E"/>
    <w:rsid w:val="00CB6068"/>
    <w:rsid w:val="00CB7B79"/>
    <w:rsid w:val="00CF0223"/>
    <w:rsid w:val="00E204A0"/>
    <w:rsid w:val="00E4182A"/>
    <w:rsid w:val="00EA1AD5"/>
    <w:rsid w:val="00F03445"/>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93ADC"/>
  </w:style>
  <w:style w:type="paragraph" w:styleId="Ttulo1">
    <w:name w:val="heading 1"/>
    <w:basedOn w:val="Normal"/>
    <w:next w:val="Normal"/>
    <w:rsid w:val="00593ADC"/>
    <w:pPr>
      <w:keepNext/>
      <w:widowControl w:val="0"/>
      <w:spacing w:after="0"/>
      <w:jc w:val="center"/>
      <w:outlineLvl w:val="0"/>
    </w:pPr>
    <w:rPr>
      <w:rFonts w:ascii="Times New Roman" w:eastAsia="Times New Roman" w:hAnsi="Times New Roman" w:cs="Times New Roman"/>
      <w:sz w:val="40"/>
      <w:szCs w:val="40"/>
    </w:rPr>
  </w:style>
  <w:style w:type="paragraph" w:styleId="Ttulo2">
    <w:name w:val="heading 2"/>
    <w:basedOn w:val="Normal"/>
    <w:next w:val="Normal"/>
    <w:rsid w:val="00593ADC"/>
    <w:pPr>
      <w:keepNext/>
      <w:keepLines/>
      <w:spacing w:before="360" w:after="80"/>
      <w:outlineLvl w:val="1"/>
    </w:pPr>
    <w:rPr>
      <w:b/>
      <w:sz w:val="36"/>
      <w:szCs w:val="36"/>
    </w:rPr>
  </w:style>
  <w:style w:type="paragraph" w:styleId="Ttulo3">
    <w:name w:val="heading 3"/>
    <w:basedOn w:val="Normal"/>
    <w:next w:val="Normal"/>
    <w:rsid w:val="00593ADC"/>
    <w:pPr>
      <w:keepNext/>
      <w:keepLines/>
      <w:spacing w:before="280" w:after="80"/>
      <w:outlineLvl w:val="2"/>
    </w:pPr>
    <w:rPr>
      <w:b/>
      <w:sz w:val="28"/>
      <w:szCs w:val="28"/>
    </w:rPr>
  </w:style>
  <w:style w:type="paragraph" w:styleId="Ttulo4">
    <w:name w:val="heading 4"/>
    <w:basedOn w:val="Normal"/>
    <w:next w:val="Normal"/>
    <w:rsid w:val="00593ADC"/>
    <w:pPr>
      <w:keepNext/>
      <w:keepLines/>
      <w:spacing w:before="240" w:after="40"/>
      <w:outlineLvl w:val="3"/>
    </w:pPr>
    <w:rPr>
      <w:b/>
      <w:sz w:val="24"/>
      <w:szCs w:val="24"/>
    </w:rPr>
  </w:style>
  <w:style w:type="paragraph" w:styleId="Ttulo5">
    <w:name w:val="heading 5"/>
    <w:basedOn w:val="Normal"/>
    <w:next w:val="Normal"/>
    <w:rsid w:val="00593ADC"/>
    <w:pPr>
      <w:keepNext/>
      <w:keepLines/>
      <w:spacing w:before="220" w:after="40"/>
      <w:outlineLvl w:val="4"/>
    </w:pPr>
    <w:rPr>
      <w:b/>
    </w:rPr>
  </w:style>
  <w:style w:type="paragraph" w:styleId="Ttulo6">
    <w:name w:val="heading 6"/>
    <w:basedOn w:val="Normal"/>
    <w:next w:val="Normal"/>
    <w:rsid w:val="00593ADC"/>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rsid w:val="00593ADC"/>
    <w:tblPr>
      <w:tblCellMar>
        <w:top w:w="100" w:type="dxa"/>
        <w:left w:w="100" w:type="dxa"/>
        <w:bottom w:w="100" w:type="dxa"/>
        <w:right w:w="100" w:type="dxa"/>
      </w:tblCellMar>
    </w:tblPr>
  </w:style>
  <w:style w:type="paragraph" w:styleId="Ttulo">
    <w:name w:val="Title"/>
    <w:basedOn w:val="Normal"/>
    <w:next w:val="Normal"/>
    <w:rsid w:val="00593ADC"/>
    <w:pPr>
      <w:keepNext/>
      <w:keepLines/>
      <w:spacing w:before="480" w:after="120"/>
    </w:pPr>
    <w:rPr>
      <w:b/>
      <w:sz w:val="72"/>
      <w:szCs w:val="72"/>
    </w:rPr>
  </w:style>
  <w:style w:type="paragraph" w:styleId="Prrafodelista">
    <w:name w:val="List Paragraph"/>
    <w:aliases w:val="titulo 5,Lista de nivel 1"/>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pBdr>
        <w:bottom w:val="single" w:sz="4" w:space="1" w:color="auto"/>
      </w:pBdr>
      <w:adjustRightInd/>
      <w:spacing w:line="276" w:lineRule="auto"/>
      <w:ind w:left="720" w:hanging="360"/>
      <w:contextualSpacing/>
      <w:textAlignment w:val="auto"/>
    </w:pPr>
    <w:rPr>
      <w:rFonts w:ascii="Calibri" w:hAnsi="Calibri" w:cs="Calibri"/>
      <w:b/>
      <w:color w:val="000000"/>
      <w:sz w:val="22"/>
      <w:szCs w:val="22"/>
    </w:rPr>
  </w:style>
  <w:style w:type="character" w:customStyle="1" w:styleId="TITULO2Car">
    <w:name w:val="TITULO 2 Car"/>
    <w:link w:val="TITULO2"/>
    <w:rsid w:val="00B36203"/>
    <w:rPr>
      <w:rFonts w:eastAsia="Times New Roman"/>
      <w:b/>
      <w:color w:val="000000"/>
      <w:lang w:val="es-ES_tradnl"/>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lang w:val="es-PY"/>
    </w:rPr>
  </w:style>
  <w:style w:type="character" w:styleId="nfasis">
    <w:name w:val="Emphasis"/>
    <w:basedOn w:val="Fuentedeprrafopredeter"/>
    <w:uiPriority w:val="20"/>
    <w:qFormat/>
    <w:rsid w:val="00E91550"/>
    <w:rPr>
      <w:i/>
      <w:iCs/>
    </w:rPr>
  </w:style>
  <w:style w:type="table" w:styleId="Tablaconcuadrcula">
    <w:name w:val="Table Grid"/>
    <w:basedOn w:val="Tablanormal"/>
    <w:uiPriority w:val="39"/>
    <w:rsid w:val="004519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aliases w:val="Document Header1 Car,Capitula GPON Car"/>
    <w:basedOn w:val="Fuentedeprrafopredeter"/>
    <w:rsid w:val="00972E6E"/>
    <w:rPr>
      <w:rFonts w:ascii="Times New Roman" w:eastAsia="Times New Roman" w:hAnsi="Times New Roman" w:cs="Times New Roman"/>
      <w:sz w:val="40"/>
      <w:szCs w:val="24"/>
      <w:lang w:val="en-US"/>
    </w:rPr>
  </w:style>
  <w:style w:type="paragraph" w:styleId="Encabezado">
    <w:name w:val="header"/>
    <w:basedOn w:val="Normal"/>
    <w:link w:val="EncabezadoCar"/>
    <w:uiPriority w:val="99"/>
    <w:unhideWhenUsed/>
    <w:rsid w:val="0096250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2501"/>
    <w:rPr>
      <w:lang w:val="es-ES"/>
    </w:rPr>
  </w:style>
  <w:style w:type="paragraph" w:styleId="Piedepgina">
    <w:name w:val="footer"/>
    <w:basedOn w:val="Normal"/>
    <w:link w:val="PiedepginaCar"/>
    <w:uiPriority w:val="99"/>
    <w:unhideWhenUsed/>
    <w:rsid w:val="0096250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2501"/>
    <w:rPr>
      <w:lang w:val="es-ES"/>
    </w:rPr>
  </w:style>
  <w:style w:type="paragraph" w:styleId="Subttulo">
    <w:name w:val="Subtitle"/>
    <w:basedOn w:val="Normal"/>
    <w:next w:val="Normal"/>
    <w:rsid w:val="00593ADC"/>
    <w:pPr>
      <w:keepNext/>
      <w:keepLines/>
      <w:spacing w:before="360" w:after="80"/>
    </w:pPr>
    <w:rPr>
      <w:rFonts w:ascii="Georgia" w:eastAsia="Georgia" w:hAnsi="Georgia" w:cs="Georgia"/>
      <w:i/>
      <w:color w:val="666666"/>
      <w:sz w:val="48"/>
      <w:szCs w:val="48"/>
    </w:rPr>
  </w:style>
  <w:style w:type="table" w:customStyle="1" w:styleId="a">
    <w:basedOn w:val="TableNormal"/>
    <w:rsid w:val="00593ADC"/>
    <w:tblPr>
      <w:tblStyleRowBandSize w:val="1"/>
      <w:tblStyleColBandSize w:val="1"/>
      <w:tblCellMar>
        <w:top w:w="0" w:type="dxa"/>
        <w:left w:w="115" w:type="dxa"/>
        <w:bottom w:w="0" w:type="dxa"/>
        <w:right w:w="115" w:type="dxa"/>
      </w:tblCellMar>
    </w:tblPr>
  </w:style>
  <w:style w:type="table" w:customStyle="1" w:styleId="a0">
    <w:basedOn w:val="TableNormal"/>
    <w:rsid w:val="00593ADC"/>
    <w:pPr>
      <w:spacing w:after="0" w:line="240" w:lineRule="auto"/>
    </w:pPr>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widowControl w:val="0"/>
      <w:spacing w:after="0"/>
      <w:jc w:val="center"/>
      <w:outlineLvl w:val="0"/>
    </w:pPr>
    <w:rPr>
      <w:rFonts w:ascii="Times New Roman" w:eastAsia="Times New Roman" w:hAnsi="Times New Roman" w:cs="Times New Roman"/>
      <w:sz w:val="40"/>
      <w:szCs w:val="40"/>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paragraph" w:styleId="Prrafodelista">
    <w:name w:val="List Paragraph"/>
    <w:aliases w:val="titulo 5,Lista de nivel 1"/>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pBdr>
        <w:bottom w:val="single" w:sz="4" w:space="1" w:color="auto"/>
      </w:pBdr>
      <w:adjustRightInd/>
      <w:spacing w:line="276" w:lineRule="auto"/>
      <w:ind w:left="720" w:hanging="360"/>
      <w:contextualSpacing/>
      <w:textAlignment w:val="auto"/>
    </w:pPr>
    <w:rPr>
      <w:rFonts w:ascii="Calibri" w:hAnsi="Calibri" w:cs="Calibri"/>
      <w:b/>
      <w:color w:val="000000"/>
      <w:sz w:val="22"/>
      <w:szCs w:val="22"/>
    </w:rPr>
  </w:style>
  <w:style w:type="character" w:customStyle="1" w:styleId="TITULO2Car">
    <w:name w:val="TITULO 2 Car"/>
    <w:link w:val="TITULO2"/>
    <w:rsid w:val="00B36203"/>
    <w:rPr>
      <w:rFonts w:eastAsia="Times New Roman"/>
      <w:b/>
      <w:color w:val="000000"/>
      <w:lang w:val="es-ES_tradnl"/>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lang w:val="es-PY"/>
    </w:rPr>
  </w:style>
  <w:style w:type="character" w:styleId="nfasis">
    <w:name w:val="Emphasis"/>
    <w:basedOn w:val="Fuentedeprrafopredeter"/>
    <w:uiPriority w:val="20"/>
    <w:qFormat/>
    <w:rsid w:val="00E91550"/>
    <w:rPr>
      <w:i/>
      <w:iCs/>
    </w:rPr>
  </w:style>
  <w:style w:type="table" w:styleId="Tablaconcuadrcula">
    <w:name w:val="Table Grid"/>
    <w:basedOn w:val="Tablanormal"/>
    <w:uiPriority w:val="39"/>
    <w:rsid w:val="004519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aliases w:val="Document Header1 Car,Capitula GPON Car"/>
    <w:basedOn w:val="Fuentedeprrafopredeter"/>
    <w:rsid w:val="00972E6E"/>
    <w:rPr>
      <w:rFonts w:ascii="Times New Roman" w:eastAsia="Times New Roman" w:hAnsi="Times New Roman" w:cs="Times New Roman"/>
      <w:sz w:val="40"/>
      <w:szCs w:val="24"/>
      <w:lang w:val="en-US"/>
    </w:rPr>
  </w:style>
  <w:style w:type="paragraph" w:styleId="Encabezado">
    <w:name w:val="header"/>
    <w:basedOn w:val="Normal"/>
    <w:link w:val="EncabezadoCar"/>
    <w:uiPriority w:val="99"/>
    <w:unhideWhenUsed/>
    <w:rsid w:val="0096250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2501"/>
    <w:rPr>
      <w:lang w:val="es-ES"/>
    </w:rPr>
  </w:style>
  <w:style w:type="paragraph" w:styleId="Piedepgina">
    <w:name w:val="footer"/>
    <w:basedOn w:val="Normal"/>
    <w:link w:val="PiedepginaCar"/>
    <w:uiPriority w:val="99"/>
    <w:unhideWhenUsed/>
    <w:rsid w:val="0096250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2501"/>
    <w:rPr>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Tk4Zci6nbaSuElrxuukskVuGGg==">CgMxLjAyDmgudHFuaWZqbHZybjQwOAByITEzWHRGQnE3Wkp3TXJUR0t6VXkwdkFnRngtWDZqTXVfMw==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3135</Words>
  <Characters>17246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copaco</cp:lastModifiedBy>
  <cp:revision>33</cp:revision>
  <cp:lastPrinted>2026-03-10T11:38:00Z</cp:lastPrinted>
  <dcterms:created xsi:type="dcterms:W3CDTF">2025-09-23T13:25:00Z</dcterms:created>
  <dcterms:modified xsi:type="dcterms:W3CDTF">2026-03-13T18:25:00Z</dcterms:modified>
</cp:coreProperties>
</file>